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1C_620/2018 vom 14. Mai 2019</w:t>
      </w:r>
    </w:p>
    <w:p>
      <w:r>
        <w:t>Bundesgericht, 2019-05-14, DE</w:t>
      </w:r>
    </w:p>
    <w:p>
      <w:r>
        <w:rPr>
          <w:b/>
        </w:rPr>
        <w:t xml:space="preserve">Quelle: </w:t>
      </w:r>
      <w:r>
        <w:t>https://mcp.opencaselaw.ch/entscheid/bger_1C_620_2018</w:t>
      </w:r>
    </w:p>
    <w:p>
      <w:r>
        <w:t>FR: TF 1C_620/2018 du 14 mai 2019</w:t>
      </w:r>
    </w:p>
    <w:p>
      <w:r>
        <w:t>IT: TF 1C_620/2018 del 14 maggio 2019</w:t>
      </w:r>
    </w:p>
    <w:p>
      <w:pPr>
        <w:pStyle w:val="Heading2"/>
      </w:pPr>
      <w:r>
        <w:t>Erwägungen</w:t>
      </w:r>
    </w:p>
    <w:p>
      <w:r>
        <w:rPr>
          <w:b/>
        </w:rPr>
        <w:t>E. 1.1</w:t>
      </w:r>
    </w:p>
    <w:p>
      <w:r>
        <w:t>Angefochten ist ein kantonal letztinstanzlicher ( Art. 86 Abs. 1 lit. d BGG ) Endentscheid ( Art. 90 BGG ) in einer Verwaltungssache und damit in einer öffentlich-rechtlichen Angelegenheit im Sinne von Art. 82 lit. a BGG . Ein Ausschlussgrund nach Art. 83 BGG besteht nicht, womit die Beschwerde in öffentlich-rechtlichen Angelegenheiten gegeben ist.</w:t>
      </w:r>
    </w:p>
    <w:p>
      <w:r>
        <w:t>Fraglich ist, ob die Beschwerdeführerin zur Beschwerdeführung befugt ist. Gemäss Art. 42 Abs. 1 und 2 BGG muss die Beschwerdeführerin die Beschwerde hinreichend begründen. Sie muss - soweit das nicht offensichtlich ist - insbesondere darlegen, dass die gesetzlichen Legitimationsvoraussetzungen erfüllt sind. Andernfalls genügt sie ihrer Begründungspflicht nicht und ist auf die Beschwerde nicht einzutreten ( BGE 134 II 120 E. 1 S. 121; 133 II 400 E. 2 S. 404).</w:t>
      </w:r>
    </w:p>
    <w:p>
      <w:r>
        <w:t>Die Beschwerdeführerin beruft sich primär auf Art. 89 Abs. 2 lit. c BGG und rügt eine Verletzung ihrer Autonomie. Subsidiär stützt sie ihre Beschwerdeberechtigung auf Art. 89 Abs. 1 BGG .</w:t>
      </w:r>
    </w:p>
    <w:p>
      <w:r>
        <w:rPr>
          <w:b/>
        </w:rPr>
        <w:t>E. 1.2.1</w:t>
      </w:r>
    </w:p>
    <w:p>
      <w:r>
        <w:t>Nach Art. 89 Abs. 2 lit. c BGG ist eine Gemeinde zur Beschwerde befugt, soweit sie die Verletzung von Garantien rügt, die ihr von der Kantons- oder der Bundesverfassung eingeräumt werden.</w:t>
      </w:r>
    </w:p>
    <w:p>
      <w:r>
        <w:rPr>
          <w:b/>
        </w:rPr>
        <w:t>E. 1.2.2</w:t>
      </w:r>
    </w:p>
    <w:p>
      <w:r>
        <w:t>Die Vorinstanz hat in ihrer Entscheidbegründung vorab auf die bundesgerichtliche Rechtsprechung verwiesen (angefochtener Entscheid E. 2.4) :</w:t>
      </w:r>
    </w:p>
    <w:p>
      <w:r>
        <w:t>Grundvoraussetzung für die Widmung einer Sache zum Gemeingebrauch ist demnach die Verfügungsmacht des Gemeinwesens. Eine Strassenparzelle im Privateigentum ist grundsätzlich für den privaten und nicht für den öffentlichen Gebrauch bestimmt. Das Gemeinwesen darf sie nur dann und nur soweit durch hoheitliche Anordnungen als öffentliche Verkehrsfläche behandeln, als es die dafür erforderliche Verfügungsmacht (z.B. in der Form eines dinglichen Rechts) erlangt hat. Mangels eines dinglichen Rechts oder einer unmittelbar wirkenden öffentlich-rechtlichen Eigentumsbeschränkung bedarf es des Einverständnisses des privaten Eigentümers. Dessen Zustimmung zur Widmung kann auch formlos sein. Ein blosses Dulden der allgemeinen Benützung genügt aber nicht (Urteil 5A_348/2012 vom 15. August 2012 E. 4.3.2 mit Hinweisen).</w:t>
      </w:r>
    </w:p>
    <w:p>
      <w:r>
        <w:t>Im zu beurteilenden Fall hat die Vorinstanz (mangels eines dinglichen Rechts oder einer unmittelbar wirkenden öffentlich-rechtlichen Eigentumsbeschränkung) geprüft, ob von einer formlosen Widmung des Bleikenwegs zum Gemeingebrauch und insbesondere von der konkludenten Zustimmung der Flurgenossenschaft ausgegangen werden kann (angefochtener Entscheid E. 2.6).</w:t>
      </w:r>
    </w:p>
    <w:p>
      <w:r>
        <w:t>Die Vorinstanz hat erwogen, die Beschwerdeführerin selbst habe die Widmung zum Gemeingebrauch ausschliesslich mit dem sog. Wegrodel begründet (angefochtener Entscheid E. 4.1.2), der Bleikenweg sei indes im kommunalen Wegrodel unbestrittenermassen nicht verzeichnet (angefochtener Entscheid E. 2.1.3). Insgesamt sei es sehr fraglich, ob aufgrund der durch die Akten erstellten Sachlage auf eine formlose Widmung des Bleikenwegs zum Allgemeingebrauch bzw. einen diesbezüglichen Willen der Beschwerdeführerin geschlossen werden könne (angefochtener Entscheid E. 4.5). Zudem habe die Beschwerdegegnerin mit der Anordnung eines privatrechtlichen Fahrverbots ihren Willen bekundet, an der Qualifikation des Bleikenwegs als Privatstrasse festzuhalten (angefochtener Entscheid E. 5.3.5). Zusammenfassend fehle es an hinreichend konkreten Umständen, welche in Anwendung des gebotenen objektivierten Massstabs eindeutig auf ein konkludentes Einverständnis der Beschwerdegegnerin zu einer Widmung des Bleikenwegs zum Gemeingebrauch hindeuteten (angefochtener Entscheid E. 5.5). Nachdem es sich beim Bleikenweg nach wie vor um eine Privatstrasse handle, sei der Anordnung eines öffentlich-rechtlichen Fahrverbots gestützt auf Art. 3 Abs. 4 SVG (SR 741.01) der Boden entzogen. Das SVG ordne nur den Verkehr auf öffentlichen Strassen. Gleiches gelte für das kantonale Strassengesetz (angefochtener Entscheid E. 5.7).</w:t>
      </w:r>
    </w:p>
    <w:p>
      <w:r>
        <w:rPr>
          <w:b/>
        </w:rPr>
        <w:t>E. 1.2.3</w:t>
      </w:r>
    </w:p>
    <w:p>
      <w:r>
        <w:t>Die Beschwerdeführerin behauptet, wie dargelegt, der angefochtene Entscheid verletze sie in ihrer Gemeindeautonomie ( Art. 89 Abs. 2 lit. c BGG ).</w:t>
      </w:r>
    </w:p>
    <w:p>
      <w:r>
        <w:t>Beim Bleikenweg handelt es sich unbestrittenermassen um eine Privatstrasse im Eigentum (eines Teils der Mitglieder) der Beschwerdegegnerin. Ist zu entscheiden, ob die Gemeinde (Beschwerdeführerin), auf ihr eine Signalisation anbringen darf, welche die Benützung in weiterem Umfang zulässt als die Eigentümerin (Beschwerdegegnerin) will, muss zunächst geprüft werden, inwiefern die Privatstrasse dem Gemeingebrauch offen steht. Dies ist eine Frage der Widmung der Privatstrasse, welche das kantonale Recht regelt, wobei die Zustimmung des privaten Eigentümers zur Widmung auch formlos erfolgen kann. Die Vorinstanz hat die bundesgerichtliche Rechtsprechung (Urteil 5A_348/2012 vom 15. August 2012 E. 4.3.2) insoweit zutreffend wiedergegeben (E. 1.2.2 hiervor).</w:t>
      </w:r>
    </w:p>
    <w:p>
      <w:r>
        <w:t>Die Beschwerdeführerin geht in ihrer Beschwerde im Rahmen ihrer Ausführungen zur Legitimation (S. 4 und 5) nicht auf die vorinstanzlichen Erwägungen und die bundesgerichtliche Rechtsprechung ein. Sie legt nicht dar, inwiefern ihr im Zusammenhang mit der Widmung von Privatstrassen zum Gemeingebrauch Autonomie zukommen soll. Dies ist auch nicht ersichtlich, zumal im angefochtenen Entscheid nicht von einer Rechtsanwendung im Autonomiebereich die Rede ist. Demnach liegt auch keine Verletzung eines geschützten Autonomiebereichs auf der Hand. Auf die Autonomiebeschwerde ist deshalb mangels rechtsgenüglicher Substanziierung einer Autonomieverletzung nicht einzutreten.</w:t>
      </w:r>
    </w:p>
    <w:p>
      <w:r>
        <w:rPr>
          <w:b/>
        </w:rPr>
        <w:t>E. 1.3.1</w:t>
      </w:r>
    </w:p>
    <w:p>
      <w:r>
        <w:t>Nach Art. 89 Abs. 1 BGG , auf welchen sich die Beschwerdeführerin subsidiär beruft,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w:t>
      </w:r>
    </w:p>
    <w:p>
      <w:r>
        <w:rPr>
          <w:b/>
        </w:rPr>
        <w:t>E. 1.3.2</w:t>
      </w:r>
    </w:p>
    <w:p>
      <w:r>
        <w:t>Die Regelung von Art.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S. 164 mit Hinweisen).</w:t>
      </w:r>
    </w:p>
    <w:p>
      <w:r>
        <w:rPr>
          <w:b/>
        </w:rPr>
        <w:t>E. 1.3.3</w:t>
      </w:r>
    </w:p>
    <w:p>
      <w:r>
        <w:t>Die Beschwerdeführerin ist durch den angefochtenen Entscheid nicht gleich oder ähnlich wie eine Privatperson betroffen, was von ihr auch nicht behauptet wird.</w:t>
      </w:r>
    </w:p>
    <w:p>
      <w:r>
        <w:t>Die Beschwerdeführerin ist zwar (privates) Mitglied der Flurgenossenschaft. In dieser Eigenschaft ist sie aber nicht befugt, der Beschwerdegegnerin Verkehrsanordnungen aufzuerlegen oder solche vor dem Bundesgericht geltend zu machen. Als Trägerin hoheitlicher Gewalt im Gemeindegebiet ist die Beschwerdeführerin durch den angefochtenen Entscheid, der die Widmung der Privatstrasse zum Gemeingebrauch und damit die Kompetenz der Gemeinde zur Öffnung der Strasse für den Fahrradverkehr durch Anbringen einer entsprechenden Signalisation verneint, nicht qualifiziert in der Wahrnehmung ihrer hoheitlichen Aufgaben betroffen. Es geht nicht um eine Regelung mit wichtigen Auswirkungen auf die kommunale Erschliessungssituation (vgl. auch angefochtener Entscheid E. 4.3.2), sondern um den Spezialfall einer punktuellen Öffnung einer Privatstrasse für bestimmte Strassenbenützer.</w:t>
      </w:r>
    </w:p>
    <w:p>
      <w:r>
        <w:t>Die Beschwerdeführerin kann deshalb nicht gestützt auf Art. 89 Abs. 1 BGG als beschwerdeberechtigt gelten.</w:t>
      </w:r>
    </w:p>
    <w:p>
      <w:r>
        <w:rPr>
          <w:b/>
        </w:rPr>
        <w:t>E. 2</w:t>
      </w:r>
    </w:p>
    <w:p>
      <w:r>
        <w:t>Auf die Beschwerde ist damit mangels Legitimation bzw. Erfüllung der diesbezüglichen Begründungsanforderungen ( Art. 42 Abs. 1 und 2 BGG ) nicht einzutreten.</w:t>
      </w:r>
    </w:p>
    <w:p>
      <w:r>
        <w:t>Die Beschwerdeführerin vertritt keine Vermögensinteressen; es sind deshalb keine Gerichtskosten zu erheben ( Art. 66 Abs. 4 BGG ). Hingegen hat die Beschwerdeführerin der obsiegenden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