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1C_61/2021 vom 18. Februar 2021</w:t>
      </w:r>
    </w:p>
    <w:p>
      <w:r>
        <w:t>Bundesgericht, 2021-02-18, FR</w:t>
      </w:r>
    </w:p>
    <w:p>
      <w:r>
        <w:rPr>
          <w:b/>
        </w:rPr>
        <w:t xml:space="preserve">Quelle: </w:t>
      </w:r>
      <w:r>
        <w:t>https://mcp.opencaselaw.ch/entscheid/bger_1C_61_2021</w:t>
      </w:r>
    </w:p>
    <w:p>
      <w:r>
        <w:t>FR: TF 1C_61/2021 du 18 février 2021</w:t>
      </w:r>
    </w:p>
    <w:p>
      <w:r>
        <w:t>IT: TF 1C_61/2021 del 18 febbraio 2021</w:t>
      </w:r>
    </w:p>
    <w:p>
      <w:pPr>
        <w:pStyle w:val="Heading2"/>
      </w:pPr>
      <w:r>
        <w:t>Erwägungen</w:t>
      </w:r>
    </w:p>
    <w:p>
      <w:r>
        <w:rPr>
          <w:b/>
        </w:rPr>
        <w:t>E. 1</w:t>
      </w:r>
    </w:p>
    <w:p>
      <w:r>
        <w:t>Le Tribunal fédéral examine d'office la recevabilité des recours qui lui sont soumis.</w:t>
      </w:r>
    </w:p>
    <w:p>
      <w:r>
        <w:rPr>
          <w:b/>
        </w:rPr>
        <w:t>E. 1.1</w:t>
      </w:r>
    </w:p>
    <w:p>
      <w:r>
        <w:t>Le Tribunal fédéral connaît en principe des recours en matière de droit public dirigés contre une décision finale rendue par le Tribunal administratif fédéral dans une cause de droit public (art. 82 let. a et 86 al. 1 let. a LTF). Selon l' art. 83 let . w LTF, le recours est cependant irrecevable contre les décisions en matière de droit de l'électricité qui concernent l'approbation des plans des installations électriques à courant fort et à courant faible et l'expropriation de droits nécessaires à la construction ou à l'exploitation de telles installations, si elles ne soulèvent pas de question juridique de principe (cf. arrêt 1C_647/2019 du 8 octobre 2020 consid. 1, destiné à publication).</w:t>
      </w:r>
    </w:p>
    <w:p>
      <w:r>
        <w:t>La décision attaquée, qui écarte la demande d'indemnisation des recourants en raison des nuisances prétendument subies en lien avec l'exploitation de la ligne électrique 380/132 kV EOS/CFF Saint-Triphon-Chamoson et qui les renvoie à agir devant le juge civil, tombe sous le coup de cette disposition. La Cour de céans ne pourrait donc entrer en matière qu'à la condition que le recours soulève une question juridique de principe. Cela suppose que la décision en cause soit déterminante pour la pratique; tel est notamment le cas lorsque les instances inférieures doivent traiter de nombreux cas analogues ou lorsqu'il est nécessaire de trancher une question juridique qui se pose pour la première fois et qui donne lieu à une incertitude caractérisée, laquelle appelle de manière pressante un éclaircissement de la part du Tribunal fédéral ( ATF 146 II 276 consid. 1.2.1 p. 280) ou encore dans l'hypothèse où l'instance précédente a dérogé à une jurisprudence du Tribunal fédéral ( ATF 133 IV 215 consid. 1.2 p. 218; arrêt 1C_535/2020 du 16 décembre 2020). La notion de question juridique de principe doit être appliquée de manière restrictive. En application de l'art. 42 al. 2, 2</w:t>
      </w:r>
    </w:p>
    <w:p>
      <w:r>
        <w:t>ème phrase, LTF, il appartient à la partie recourante d'exposer de manière suffisante en quoi la décision attaquée soulève une telle question.</w:t>
      </w:r>
    </w:p>
    <w:p>
      <w:r>
        <w:rPr>
          <w:b/>
        </w:rPr>
        <w:t>E. 1.2</w:t>
      </w:r>
    </w:p>
    <w:p>
      <w:r>
        <w:t>Les recourants soutiennent que leur recours soulève une première question juridique de principe en lien avec la qualification du contrat de servitude qu'ils ont passé avec EOS SA le 10 décembre 1996. Le Tribunal administratif fédéral aurait retenu à tort qu'il s'agirait d'un contrat de droit privé au motif qu'il a été conclu avant l'ouverture de la procédure d'expropriation dès lors qu'il a été signé après la publication des plans de la ligne électrique aérienne 380/132 kV. Aucun des arrêts du Tribunal fédéral cités dans l'arrêt attaqué aux considérants 5.2.1 et 5.2.2 ne permettrait une telle conclusion. Cette question de droit revêtirait en outre une importance fondamentale en tant qu'elle pourrait intéresser de nombreux propriétaires bordiers d'une ligne à haute tension en les contraignant à agir par la voie civile pour faire valoir leurs droits en cas de litige.</w:t>
      </w:r>
    </w:p>
    <w:p>
      <w:r>
        <w:t>Le Tribunal administratif fédéral s'est référé à cet égard à la jurisprudence constante du Tribunal fédéral qui qualifie de contrats de droit administratif les conventions passées après l'ouverture de la procédure d'expropriation et de contrats de droit privé celles conclues avant celle-ci ( ATF 129 II 420 consid. 3.2.1 p. 426; 114 Ib 142 consid. 3b/bb p. 148). La date déterminante est celle du dépôt public des plans d'expropriation et du tableau des droits expropriés ou, en cas de procédure sommaire, de l'envoi de l'avis personnel aux expropriés ( art. 30 et 33 LEx ) pour les procédures exclusivement soumises à cette loi ( ATF 114 Ib 142 consid. 3b/cc p. 148). En revanche, dans les procédures combinées, telles celles concernant les routes nationales à partir de 1960, où la procédure d'opposition ouverte par la mise à l'enquête des plans de l'ouvrage tient lieu de procédure d'opposition à l'expropriation, le moment décisif pour fixer la nature des contrats passés entre la collectivité ou l'exploitant et un particulier est celui de la publication des plans définitifs de l'ouvrage ( ATF 108 Ib 505 consid. 2 p. 507). La procédure combinée n'est applicable aux installations électriques à courant fort que depuis le 1</w:t>
      </w:r>
    </w:p>
    <w:p>
      <w:r>
        <w:t>er janvier 2000; avant cela, la procédure d'approbation des plans précédait celle de l'expropriation de sorte que la convention conclue le 10 décembre 1996 avant la notification de l'avis personnel aux recourants était soumise au droit privé. Les recourants ne s'emploient nullement à démontrer que la procédure qui prévalait pour les installations électriques à courant fort avant la révision introduite le 1</w:t>
      </w:r>
    </w:p>
    <w:p>
      <w:r>
        <w:t>er janvier 2000 équivaudrait à celle des routes nationales et postulerait de fixer la date déterminante pour qualifier un contrat de servitude de droit administratif ou de droit privé à celle de la mise à l'enquête des plans de l'ouvrage conformément à la solution retenue dans l'arrêt paru aux ATF 114 Ib 142 consid. 3b/cc. Ils soutiennent que la qualification de la convention du 10 décembre 1996 ne dépend pas uniquement de la date de sa conclusion, soit avant ou après l'ouverture de la procédure d'expropriation, mais qu'il conviendrait également de tenir compte du fait que l'exploitante de la ligne électrique agirait en position de force conformément au principe de la subordination (cf. ATF 138 II 134 consid. 4.4.1 p. 152; 109 Ib 146 consid. 3 p. 152). Or, la jurisprudence n'a pas recouru à ce critère en ce domaine.</w:t>
      </w:r>
    </w:p>
    <w:p>
      <w:r>
        <w:t>Le Tribunal administratif fédéral ne s'est donc pas écarté de la jurisprudence du Tribunal fédéral qu'il a correctement résumée. Par ailleurs, il n'est nullement établi que de nombreux cas analogues seraient pendants devant les instances précédentes et revêtirait ainsi une importance déterminante pour la pratique.</w:t>
      </w:r>
    </w:p>
    <w:p>
      <w:r>
        <w:t>Le recours ne soulève ainsi pas sur ce point une question juridique de principe qui justifierait de faire obstacle à l'application de la clause d'exclusion de l' art. 83 let . w LTF et d'entrer en matière. Au demeurant, dans une motivation subsidiaire, le Tribunal administratif fédéral a précisé que même si l'on devait retenir qu'une procédure d'expropriation avait été valablement ouverte, les recourants étaient forclos à réclamer une quelconque indemnité à ce titre faute d'avoir formé opposition ni produit de demandes fondées sur l' art. 7 al. 3 LEx ou des demandes d'indemnité en mains de la Municipalité de Saint-Maurice dans le délai de péremption de trente jours (consid. 5.3.2). On cherche en vain une argumentation en lien avec cette motivation dans le recours de sorte que, supposé recevable au regard de l' art 83 let . w LTF, il aurait vraisemblablement dû être déclaré irrecevable faute de satisfaire aux exigences de motivation découlant des art. 42 al. 2 et 106 al. 2 LTF lorsque la décision attaquée se fonde sur plusieurs motivations (cf. ATF 142 III 364 consid. 2.4 p. 368) sans que la question de la qualification privée ou non de la convention du 10 décembre 1996 ne dût être examinée.</w:t>
      </w:r>
    </w:p>
    <w:p>
      <w:r>
        <w:rPr>
          <w:b/>
        </w:rPr>
        <w:t>E. 1.3</w:t>
      </w:r>
    </w:p>
    <w:p>
      <w:r>
        <w:t>Les recourants considèrent également que la question de savoir si la servitude constituée le 2 avril 1984 pour l'établissement de la ligne électrique 220 kV Chamoson-Romanel conserve sa validité après son démantèlement et son remplacement par une nouvelle ligne de 380 kV revêtirait une importance de principe; en effet, si l'on admet que cette servitude a perdu sa validité, alors il n'y aurait pas lieu de retenir une décote de 10% pour réduire l'indemnisation due à la présence d'une ligne électrique préexistante, comme l'a fait la Commission fédérale d'estimation. Cette question n'aurait jamais été tranchée et le Tribunal administratif fédéral se serait fondé sur deux arrêts du Tribunal fédéral rendus le 9 novembre 1999 et 9 juin 2017 dans les causes 1E.14/1998 et 1C_24/2017 qui n'auraient pas la portée qu'il leur prête.</w:t>
      </w:r>
    </w:p>
    <w:p>
      <w:r>
        <w:t>Le Tribunal administratif fédéral a retenu que la servitude permettant le passage de l'ancienne ligne électrique ne s'était pas éteinte avec le démontage de celle-ci mais qu'elle avait conservé sa validité car elle était toujours inscrite au registre foncier. Le Tribunal fédéral avait confirmé la prise en compte de la préexistence d'une ligne à haute tension dans l'arrêt rendu le 9 juin 2017 sur recours de Swissgrid SA dans la cause connexe 1C_24/2017. Le Tribunal administratif fédéral en a dès lors déduit que l'indemnité de 30'000 francs versée à l'ancien propriétaire en contre-valeur de la constitution de la servitude était opposable aux recourants et que le présent litige concernait ainsi l'aggravation d'une servitude de passage existante pour la transformation d'une ligne aérienne de 220 kV en une ligne de 380 kV.</w:t>
      </w:r>
    </w:p>
    <w:p>
      <w:r>
        <w:t>Dans la cause précitée, la Cour de céans a constaté que le Tribunal administratif fédéral avait annulé une précédente décision de la Commission fédérale d'estimation et renvoyé la cause à cette autorité pour qu'elle fixe la valeur vénale de la propriété de l'intimée alors qu'elle était déjà grevée d'une servitude de passage pour la ligne 220 kV. Elle avait admis que le Tribunal administratif fédéral n'avait pas méconnu la préexistence d'une ligne à haute tension puisqu'il s'agissait du motif de renvoi de la cause à l'instance inférieure. L'expertise judiciaire considérait ainsi que la ligne précédente entraînait une dévaluation de 10% de la valeur de la parcelle, la dévaluation d'ensemble avec la nouvelle ligne étant de l'ordre de 50%. La Cour de céans a retenu que l'ensemble de ces considérations apparaissaient pertinentes au regard du droit fédéral et que la recourante ne faisait valoir que des généralités auxquelles l'instance précédente avait répondu (consid. 3.2). La question de savoir si le Tribunal administratif fédéral pouvait déduire de cette motivation que le Tribunal fédéral avait entériné la validité du contrat de servitude passé avec les recourants pour la ligne électrique de 220 kV peut demeurer indécise. Les recourants ne prétendent en effet pas que de nombreux cas analogues seraient pendants devant les instances précédentes et que la résolution de cette question présenterait une importance pour la pratique.</w:t>
      </w:r>
    </w:p>
    <w:p>
      <w:r>
        <w:t>Le recours ne soulève donc pas davantage sur ce point une question juridique de principe.</w:t>
      </w:r>
    </w:p>
    <w:p>
      <w:r>
        <w:rPr>
          <w:b/>
        </w:rPr>
        <w:t>E. 2</w:t>
      </w:r>
    </w:p>
    <w:p>
      <w:r>
        <w:t>Le recours doit par conséquent être déclaré irrecevable selon la procédure simplifiée prévue par l' art. 109 al. 2 let. a LTF . L'intimée, qui n'a pas été invitée à se déterminer,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