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619/2023 vom 27. Februar 2025</w:t>
      </w:r>
    </w:p>
    <w:p>
      <w:r>
        <w:t>Bundesgericht, 2025-02-27, FR</w:t>
      </w:r>
    </w:p>
    <w:p>
      <w:r>
        <w:rPr>
          <w:b/>
        </w:rPr>
        <w:t xml:space="preserve">Quelle: </w:t>
      </w:r>
      <w:r>
        <w:t>https://mcp.opencaselaw.ch/entscheid/bger_1C_619_2023</w:t>
      </w:r>
    </w:p>
    <w:p>
      <w:r>
        <w:t>FR: TF 1C 619/2023 du 27 février 2025</w:t>
      </w:r>
    </w:p>
    <w:p>
      <w:r>
        <w:t>IT: TF 1C 619/2023 del 27 febbraio 2025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l'instance précédente ( art. 89 al. 1 LTF ). En tant que propriétaires de biens immobiliers directement voisins ou proches du projet litigieux, ils sont particulièrement touchés par l'arrêt attaqué, qui confirme l'autorisation de construire délivrée par la municipalité, qu'ils tiennent pour contraire au droit. Ils peuvent ainsi se prévaloir d'un intérêt personnel et digne de protection à l'annulation de l'arrêt attaqué et bénéficient dès lors de la qualité pour recourir au sens de l' art. 89 al. 1 LTF . Les autres conditions de recevabilité étant au surplus réunies, il convient d'entrer en matière.</w:t>
      </w:r>
    </w:p>
    <w:p>
      <w:r>
        <w:rPr>
          <w:b/>
        </w:rPr>
        <w:t>E. 2</w:t>
      </w:r>
    </w:p>
    <w:p>
      <w:r>
        <w:t>Les recourants reprochent à la cour cantonale d'avoir commis un déni de justice ( art. 29 al. 1 Cst. ) en omettant d'élucider un fait décisif au regard de l'art. 37 al. 2 RCATC, soit la déclivité de la parcelle. Ils invoquent par ailleurs une constatation arbitraire des faits en tant qu'ils auraient démontré, calculs à l'appui, que la pente moyenne pertinente serait de 12.6 %, voire en réalité de 12.1 % si les erreurs constatées étaient corrigées et les points relevés sur les limites parcellaires. Subsidiairement, les recourants se plaignent d'une violation de leur droit d'être entendus ( art. 29 al. 2 Cst. ) en tant que la cour cantonale se serait fondée sur l'avis de l'assesseur spécialisé (ingénieur géomètre) selon lequel la pente présente des valeurs entre 13 % et 17 % suivant les points pris en considération; ils lui reprochent, d'une part, de ne pas avoir soumis préalablement ces points ou ces valeurs pour détermination et, d'autre part, de ne pas avoir fait figurer les points de mesures et calculs dans le jugement entrepris. Enfin, les recourants font grief à l'instance précédente d'avoir retenu de manière inattendue que ce bien-fonds s'inscrivait dans un secteur de la commune de Pully présentant notoirement une pente importante, alors même que ce secteur n'avait jamais été évoqué par l'autorité communale. 2.1.1. Commet un déni de justice proscrit par l' art. 29 al. 1 Cst. l'autorité qui ne traite pas un grief relevant de sa compétence, motivé de façon suffisante et pertinent pour l'issue du litige (cf. ATF 142 II 154 consid. 4.2 p. 157). Quant au droit d'être entendu, tel qu'il est garanti par l' art. 29 al. 2 Cst. , il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2.1.2. 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w:t>
      </w:r>
    </w:p>
    <w:p>
      <w:r>
        <w:rPr>
          <w:b/>
        </w:rPr>
        <w:t>E. 2.2</w:t>
      </w:r>
    </w:p>
    <w:p>
      <w:r>
        <w:t>Les griefs des recourants doivent être écartés. En effet, les parties se sont largement prononcées lors des différents échanges d'écritures et de l'inspection locale sur la question de la pente et des divers modes de calcul possibles pour déterminer s'il y a une "forte pente" au sens de l'art. 37 RCATC. Par ailleurs, pour les motifs exposés ci-dessous, il n'était pas nécessaire de déterminer la déclivité moyenne exacte de la parcelle et la cour cantonale n'a pas versé dans l'arbitraire en retenant que le terrain était en "forte pente" (cf. ci-dessous consid. 3.2). La cour cantonale n'a donc pas violé l' art. 29 Cst. , ni constaté de manière arbitraire les faits déterminants, en n'arrêtant pas la pente moyenne exacte de la parcelle. Pour le surplus, les critiques des recourants se confondent avec celle tirée d'une violation du droit cantonal, examinée ci-après.</w:t>
      </w:r>
    </w:p>
    <w:p>
      <w:r>
        <w:rPr>
          <w:b/>
        </w:rPr>
        <w:t>E. 3</w:t>
      </w:r>
    </w:p>
    <w:p>
      <w:r>
        <w:t>Les recourants se plaignent d'une application arbitraire de l'art. 37 al. 2 RCATC, en tant que la cour cantonale aurait retenu que le terrain en question était en "forte pente" au sens de cette disposition. Ils soutiennent que la pente moyenne pertinente serait de 12.6 %, voire en réalité de 12.1 %; le terrain en question ne pourrait donc pas être considéré comme étant en "forte pente", au vu de la jurisprudence cantonale qui retiendrait qu'un terrain présentant une déclivité de 14 % répondrait à ce critère.</w:t>
      </w:r>
    </w:p>
    <w:p>
      <w:r>
        <w:rPr>
          <w:b/>
        </w:rPr>
        <w:t>E. 3.1.1</w:t>
      </w:r>
    </w:p>
    <w:p>
      <w:r>
        <w:t>L'art. 37 RCATC, intitulé "Hauteur et nombre de niveaux", prévoit, à son alinéa 1 er , que, dans la zone de moyenne densité, le nombre de niveaux est limité à 4, soit le rez-de-chaussée, deux étages et combles. L'alinéa 2 de cette disposition précise que, sur les terrains en forte pente, mais à l'exclusion de ceux orientés au nord, la création d'un seul niveau partiellement habitable au-dessous du rez-de-chaussée est autorisée si les conditions suivantes sont remplies: a) la façade aval doit être dégagée du terrain naturel moyen, jusqu'au plancher du sous-sol; b) la surface habitable brute ne peut excéder 50% de la surface bâtie.</w:t>
      </w:r>
    </w:p>
    <w:p>
      <w:r>
        <w:rPr>
          <w:b/>
        </w:rPr>
        <w:t>E. 3.1.2</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(cf. ATF 144 I 170 consid. 7.3; 141 IV 305 consid. 1.2). Dans ce contexte, les recourants sont soumis aux exigences accrues de motivation de l' art. 106 al. 2 LTF (cf. ATF 145 II 32 consid. 5.1; 134 II 244 consid. 2.2).</w:t>
      </w:r>
    </w:p>
    <w:p>
      <w:r>
        <w:rPr>
          <w:b/>
        </w:rPr>
        <w:t>E. 3.2</w:t>
      </w:r>
    </w:p>
    <w:p>
      <w:r>
        <w:t>En l'espèce, la construction litigieuse comporte quatre niveaux entièrement habitables (rez-de-chaussée, 1 er et 2 ème étages, attique) et un niveau qui l'est partiellement, soit le rez-inférieur. La cour cantonale a considéré que les conditions posées par l'art. 37 al. 2 RCATC pour permettre la construction d'un niveau supplémentaire par rapport aux quatre niveaux qu'autorise l'art. 37 al. 1 RCATC, en particulier l'existence d'un terrain en "forte pente", étaient respectées. La cour cantonale a constaté que la municipalité recourait dans sa pratique à deux méthodes différentes pour calculer la pente d'un terrain au sens de l'art. 37 al. 2 RCATC (prise en compte de la surface de toute la parcelle ou prise en compte de la surface dans laquelle s'inscrit la construction projetée) et que c'était en fonction de la configuration du bien-fonds qu'elle appliquait l'une ou l'autre. La cour cantonale a estimé que le choix de la municipalité d'avoir ici déterminé la déclivité du terrain sur la base de la surface de toute la parcelle n'était pas critiquable, même si certains points de référence retenus pour calculer cette pente prêtaient à discussion (notamment les points n os 1, 7 et 8), circonstance qui ne portait toutefois pas à conséquence dans le cas d'espèce. Par ailleurs, selon les juges cantonaux, la vision locale avait montré que la parcelle concernée était un bien-fonds homogène présentant une pente régulière et significative orientée nord-sud. Ce bien-fonds s'inscrivait dans un secteur de la Commune de Pully qui présentait notoirement une pente importante, soit le secteur qui, grosso modo, s'étendait du Boulevard de la Forêt au nord en direction du lac Léman au sud. L'autorité municipale n'avait pas abusé de son pouvoir d'appréciation en retenant que le terrain de la parcelle en cause pouvait être considéré comme étant en forte pente, sans qu'il fût nécessaire de trancher précisément son pourcentage, étant relevé que, selon l'assesseur spécialisé du tribunal (ingénieur géomètre) la pente présentait des valeurs entre 13 et 17 % suivant les points pris en considération. La cour cantonale a rappelé que l'art. 37 al. 2 RCATC ne fixait pas de déclivité minimale pour retenir l'existence d'un terrain en forte pente, laissant ainsi à la municipalité une marge d'interprétation importante concernant cette notion juridique indéterminée.</w:t>
      </w:r>
    </w:p>
    <w:p>
      <w:r>
        <w:rPr>
          <w:b/>
        </w:rPr>
        <w:t>E. 3.3</w:t>
      </w:r>
    </w:p>
    <w:p>
      <w:r>
        <w:t>L'argumentation développée par les recourants ne permet pas de tenir pour arbitraire l'appréciation de la cour cantonale. Compte tenu de l'imprécision de la disposition communale qui laisse une marge d'appréciation particulière à la commune dans l'interprétation de son règlement, il n'est pas indéfendable de concevoir la notion de forte pente au regard de la surface totale de la parcelle. Par ailleurs, comme relevé par l'instance précédente, la jurisprudence cantonale a certes développé une pratique mentionnant une déclivité de 14 % comme étant constitutive d'une forte pente. Elle rappelle que l'ancien Tribunal administratif (TA) avait indiqué que les terrains constructibles les plus escarpés de la commune de Pully présentaient des déclivités oscillant entre 14 % et 19 %. Toutefois, il n'est pas insoutenable de considérer, suivant l'instance précédente, que si la jurisprudence a certes régulièrement confirmé qu'une pente de 14 % pouvait être considérée comme forte, elle n'a pas retenu que cette valeur s'imposerait comme une limite minimale générale en-dessous de laquelle l'existence d'une forte pente au sens de l'art. 37 RCATC ne pourrait pas être admise. En effet, en adoptant la notion de "forte pente", le législateur communal a renoncé à fixer un critère précis de déclivité permettant ainsi à la municipalité d'apprécier les circonstances concrètes de chaque cas, en particulier s'agissant de l'intégration du bâtiment. Compte tenu de l'imprécision de la norme communale en question, mais également de l'appréciation des juges cantonaux lors de la vision locale, en particulier celle du juge assesseur spécialisé, ainsi que de la retenue dont doit faire preuve le Tribunal fédéral en matière d'appréciation des circonstances locales, il n'apparaît pas que la cour cantonale ait versé dans l'arbitraire en considérant que le terrain litigieux présentait une forte pente. Il n'est pas choquant de considérer qu'une éventuelle différence de 1 ou 2 %, n'était pas de nature à infirmer le caractère marqué de la pente. La question de savoir si le secteur de Pully évoqué par l'instance précédente est notoirement en forte pente n'a pas besoin d'être tranchée en l'espèce. Pour le surplus, les recourants ne démontrent pas le caractère insoutenable de la décision litigieuse dans son résultat. Sur ce point, ils se contentent d'affirmer de manière appellatoire que le problème d'intégration se manifesterait en l'espèce par des mouvements de terre excessifs autour de la construction, soutenant que la cour cantonale se serait affranchie du règlement, plus précisément de l'art. 49 al. 4 RCATC relatif aux mouvements de terre et murs de soutènement. Les recourants perdent cependant de vue que la cour cantonale a considéré que le projet respectait l'art. 49 RCATC (cf. arrêt attaqué consid. 5). Ils ne soulèvent d'ailleurs pas le grief d'application arbitraire de cette disposition par la cour cantonale. Il n'y a dès lors pas lieu de s'écarter de l'appréciation de la cour cantonale selon laquelle l'intégration du niveau partiellement habitable prévu sous le rez-de-chaussée ne posera pas de problème et que le but de l'art. 37 al. 2 RCATC est ainsi respecté. L'appréciation de l'instance précédente n'apparaît dès lors pas non plus arbitraire dans son résultat. Le moyen des recourants doit dès lors être rejeté.</w:t>
      </w:r>
    </w:p>
    <w:p>
      <w:r>
        <w:rPr>
          <w:b/>
        </w:rPr>
        <w:t>E. 4</w:t>
      </w:r>
    </w:p>
    <w:p>
      <w:r>
        <w:t>Invoquant enfin une violation des art. 22 al. 2 let. b et 19 al. 1 LAT, les recourants affirment que l'accès au garage souterrain ne respecterait pas les exigences de sécurité. Selon eux, la rampe d'accès au garage ne serait pas conforme à la déclivité maximale prévue par la norme VSS 40 291a et son débouché sur le chemin des Lupins ne répondrait pas aux distances minimales de visibilité prévue par la norme VSS 40 273a.</w:t>
      </w:r>
    </w:p>
    <w:p>
      <w:r>
        <w:rPr>
          <w:b/>
        </w:rPr>
        <w:t>E. 4.1</w:t>
      </w:r>
    </w:p>
    <w:p>
      <w:r>
        <w:t>Selon la jurisprudence, les art. 19 al. 1 et 22 al. 2 let. b LAT n'imposent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1C_585/2021 du 27 octobre 2022 consid. 3.1.1).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 Les autorités communales et cantonales disposent en ce domaine d'un important pouvoir d'appréciation, que le Tribunal fédéral doit respecter ( ATF 121 I 65 consid. 3a in fine; 96 I 369 consid. 4; arrêts 1C_155/2019 du 11 décembre 2019 consid. 5.1;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1C_209/2022 du 25 août 2022 consid. 6.1; 1C_322/2021 du 24 août 2022 consid. 3.1; dans ce sens également: ELOI JEANNERAT, in Commentaire pratique LAT: Planifier l'affectation, 2016, n. 27 ad art. 19 LAT ).</w:t>
      </w:r>
    </w:p>
    <w:p>
      <w:r>
        <w:rPr>
          <w:b/>
        </w:rPr>
        <w:t>E. 4.2</w:t>
      </w:r>
    </w:p>
    <w:p>
      <w:r>
        <w:t>Après s'être rendu sur place, le Tribunal cantonal a jugé que les griefs relatifs à l'accès soulevés par les recourants n'étaient pas fondés. Il a constaté que bien que la rampe d'accès comportât certains segments plus raides que d'autres, elle présentait une pente standard, qui de surcroît s'adoucissait au fur et à mesure qu'on se rapprochait du débouché sur le chemin des Lupins. Il a retenu, à l'instar de la municipalité, que la rampe prévue ne poserait pas de problème technique ni de sécurité particulier, même en calculant la pente comme le faisaient les recourants pour parvenir à 17.46 %, soit en soustrayant la portion qui se prolongeait à l'intérieur du garage. L'instance précédente a ajouté que la déclivité telle que calculée par les recourants ne s'écartait pas de manière conséquente de la limite de 15 % préconisée par la norme VSS 40 291a; par conséquent, un refus d'autoriser la rampe d'accès projetée au motif que sa pente ne respecterait pas strictement cette norme VSS 40 291a, impliquerait une violation du principe de la proportionnalité. Par ailleurs, la vision locale avait permis de confirmer que le débouché de la rampe d'accès sur le chemin des Lupins ne poserait pas de problèmes de sécurité en ce qui concerne la visibilité. L'instance précédente a tenu compte du fait que la déclivité de la rampe à l'endroit où les véhicules s'engageraient sur la chaussée demeurait dans la limite admissible préconisée par la norme VSS 40 050. Selon la cour cantonale, au niveau du débouché, la visibilité était bonne sur la droite et elle était suffisante à gauche pour ne pas compromettre la sécurité des autres usagers. Elle a en particulier tenu compte du fait que le chemin des Lupins était un chemin privé, rectiligne et plat et qu'il n'était emprunté que par un trafic riverain, très limité, comme constaté lors de la vision locale; de plus, le trafic automobile supplémentaire généré par le projet litigieux était modeste. Selon la cour cantonale, la configuration des lieux incitait en outre les automobilistes à faire preuve de prudence et à y circuler à vitesse très modérée. Elle a également souligné que les entrées et sorties du garage souterrain se feraient uniquement en marche avant, contrairement à d'autres immeubles situés le long du chemin des Lupins, dont les habitants devaient procéder à des manoeuvres en marche arrière sur la chaussée pour sortir de leur garage. Dans ces circonstances, le fait que les distances de visibilité fixées par la norme VSS 40 273a (intitulée "Carrefours, conditions de visibilité dans les carrefours à niveau", à laquelle renvoyait la norme VSS 40 050 "Accès riverains") ne pouvaient pas être strictement respectées devait être relativisé, étant relevé que le RCATC ne commandait pas l'application de cette norme privée qui demeurait ainsi non contraignante. La cour cantonale a exposé que pour un carrefour sans trottoir, cette distance était de 10 à 20 m à une vitesse d'approche de 20 km/h (ch. 12.1, tableau n° 1 de la norme VSS 40 273a). L'instance précédente a enfin retenu que la hauteur du mur au bord de la route mis en cause par les recourants était inférieure à 0.60 m et avoisinait 0.40 m.</w:t>
      </w:r>
    </w:p>
    <w:p>
      <w:r>
        <w:rPr>
          <w:b/>
        </w:rPr>
        <w:t>E. 4.3</w:t>
      </w:r>
    </w:p>
    <w:p>
      <w:r>
        <w:t>Les recourants contestent l'appréciation de la cour cantonale. Ils affirment que la rampe d'accès ne serait pas conforme à la norme VSS 40 291a et que celle-ci ne mentionnerait pas une marge d'appréciation de + 3%. Ce faisant, ils se limitent à opposer leur propre appréciation à celle de l'instance précédente qui a considéré que, même en retenant la version la plus favorable aux recourants (déclivité moyenne de 17.46%), la rampe prévue ne poserait pas de problème technique ni de sécurité particulier. Notamment, les recourants n'exposent pas en quoi le fait que la recommandation de la norme VSS serait dépassée condamnerait l'accès en question d'un point de vue sécuritaire. De plus, comme relevé par la cour cantonale, la constructrice avait rallongé la rampe d'accès de manière à en adoucir la pente, laquelle était de 8 % à l'endroit de son débouché. Les recourants ne démontrent pas non plus, de manière circonstanciée, en quoi la rampe d'accès poserait des problèmes de sécurité à l'endroit de son débouché sur le chemin des Lupins. Ils se bornent pour l'essentiel à affirmer que la visibilité serait restreinte autant à gauche qu'à droite, sans pour autant démontrer le caractère arbitraire de l'appréciation contraire de la cour cantonale sur ce point. Au vu des motifs dûment exposés par la cour cantonale qui s'est rendue sur place, et de la réserve que s'impose le Tribunal fédéral en matière d'appréciation des circonstances locales, il y a lieu de constater que les instances précédentes n'ont pas violé le droit fédéral en considérant que l'accès ne posait pas de problèmes de sécurité. Ils n'ont en particulier pas versé dans l'arbitraire en considérant que les circonstances locales permettaient de s'écarter des recommandations des normes VSS invoquées. Par conséquent, le grief de violation des art. 19 et 22 al. 2 let. b LAT doit être rejeté, dans la mesure où il est recevable.</w:t>
      </w:r>
    </w:p>
    <w:p>
      <w:r>
        <w:rPr>
          <w:b/>
        </w:rPr>
        <w:t>E. 5</w:t>
      </w:r>
    </w:p>
    <w:p>
      <w:r>
        <w:t>Il s'ensuit que le recours doit être entièrement rejeté, dans la mesure où il est recevable. Les recourants, qui succombent, doivent supporter les frais judiciaires ( art. 65 et 66 LTF ). Ils verseront en outre une indemnité de dépens à l'intimée J.________ SA, qui a eu recours à un avocat ( art. 68 al. 2 LTF ). Les intimés K.________ et L.K.________, qui ne se sont pas déterminés, n'ont pas droit à des dépens. Enfin, dans la mesure où le recours ne peut pas être qualifié de téméraire, la municipalité, malgré sa demande, n'a pas droit à des dépens ( art. 68 al. 3 LTF ; cf. GRÉGORY BOVEY, in Commentaire LTF, 3e éd., 2022, n° 30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