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1C_619/2021 vom 5. November 2021</w:t>
      </w:r>
    </w:p>
    <w:p>
      <w:r>
        <w:t>Bundesgericht, 2021-11-05, DE</w:t>
      </w:r>
    </w:p>
    <w:p>
      <w:r>
        <w:rPr>
          <w:b/>
        </w:rPr>
        <w:t xml:space="preserve">Quelle: </w:t>
      </w:r>
      <w:r>
        <w:t>https://mcp.opencaselaw.ch/entscheid/bger_1C_619_2021</w:t>
      </w:r>
    </w:p>
    <w:p>
      <w:r>
        <w:t>FR: TF 1C_619/2021 du 5 novembre 2021</w:t>
      </w:r>
    </w:p>
    <w:p>
      <w:r>
        <w:t>IT: TF 1C_619/2021 del 5 novembre 2021</w:t>
      </w:r>
    </w:p>
    <w:p>
      <w:pPr>
        <w:pStyle w:val="Heading2"/>
      </w:pPr>
      <w:r>
        <w:t>Erwägungen</w:t>
      </w:r>
    </w:p>
    <w:p>
      <w:r>
        <w:rPr>
          <w:b/>
        </w:rPr>
        <w:t>E. 1</w:t>
      </w:r>
    </w:p>
    <w:p>
      <w:r>
        <w:t>Am 3. Februar 2021 entzog das Strassenverkehrsamt des Kantons Zürich A.________ den Führerausweis auf unbestimmte Zeit und machte dessen Wiedererteilung von einem günstigen verkehrsmedizinischen Gutachten abhängig.</w:t>
      </w:r>
    </w:p>
    <w:p>
      <w:r>
        <w:t>Am 6. September 2021 hat das Verwaltungsgericht des Kantons Zürich die Beschwerde von A.________ gegen den Führerausweisentzug sowie eine in diesem Zusammenhang erhobene Rechtsverzögerungsbeschwerde abgewiesen.</w:t>
      </w:r>
    </w:p>
    <w:p>
      <w:r>
        <w:t>Mit Eingabe vom 16. Oktober 2021 erhebt A.________ Beschwerde gegen dieses Urteil des Verwaltungsgerichts mit dem sinngemässen Antrag, ihm den Führerausweis wieder zurückzugeben.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Ohne sich auch nur ansatzweise sachgerecht mit dem angefochtenen Entscheid auseinanderzusetzen, bezichtigt der Beschwerdeführer in kaum nachvollziehbarer Weise verschiedene verfahrensbeteiligte Ärzte und Behörden der Lügen und der Korruption. Aus diesen Ausführungen ergibt sich nicht, inwiefern der angefochtene Entscheid bundesrechtswidrig sein könnte, und das ist auch nicht ersichtlich. Auf die Beschwerde ist wegen Verletzung der gesetzlichen Begründungspflicht im vereinfachten Verfahren nicht einzutreten. Von der Erhebung von 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