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1C_618/2012 vom 29. April 2013</w:t>
      </w:r>
    </w:p>
    <w:p>
      <w:r>
        <w:t>Bundesgericht, 2013-04-29, DE</w:t>
      </w:r>
    </w:p>
    <w:p>
      <w:r>
        <w:rPr>
          <w:b/>
        </w:rPr>
        <w:t xml:space="preserve">Quelle: </w:t>
      </w:r>
      <w:r>
        <w:t>https://mcp.opencaselaw.ch/entscheid/bger_1C_618_2012</w:t>
      </w:r>
    </w:p>
    <w:p>
      <w:r>
        <w:t>FR: TF 1C_618/2012 du 29 avril 2013</w:t>
      </w:r>
    </w:p>
    <w:p>
      <w:r>
        <w:t>IT: TF 1C_618/2012 del 29 aprile 2013</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Das kantonale Strassenverkehrsamt ist zur Beschwerde befugt ( Art. 89 Abs. 2 lit. d BGG i.V.m. Art. 24 Abs. 2 lit. a SVG ). Die übrigen Sachurteilsvoraussetzungen geben zu keinen Bemerkungen Anlass, sodass auf die Beschwerde einzutreten ist.</w:t>
      </w:r>
    </w:p>
    <w:p>
      <w:r>
        <w:rPr>
          <w:b/>
        </w:rPr>
        <w:t>E. 2.1</w:t>
      </w:r>
    </w:p>
    <w:p>
      <w:r>
        <w:t>Nach der Rechtsprechung des Bundesgerichts entspricht eine grobe Verkehrsregelverletzung im Sinn von Art. 90 Ziff. 2 SVG einer schweren Widerhandlung gegen die Verkehrsregeln im Sinn von Art. 16c SVG , nach welcher der Führerausweis für mindestens drei Monate zu entziehen ist ( BGE 132 II 234 E. 3 S. 237; Urteile 1C_424/2012 vom 15. Januar 2013 E. 2.1; 1C_47/2012 vom 17. April 2012 E. 3.1). Der vom Strassenverkehrs- und Schifffahrtsamt ausgesprochene Ausweisentzug für die Dauer von drei Monaten entspricht dementsprechend der strafrechtlichen Verurteilung des Beschwerdeführers wegen grober Verkehrsregelverletzung. Die Rekurskommission geht im angefochtenen Entscheid indessen davon aus, dass der dem Strafbefehl zugrunde liegende Sachverhalt nicht erwiesen sei, dass vielmehr "klare Anhaltspunkte" dafür bestünden, "dass die dem Strafbefehl zugrunde liegenden Tatsachenfeststellungen unrichtig bzw. ungenügend erhärtet sind" und dem Beschwerdeführer "kein Schikanestopp nachgewiesen werden kann" (angefochtener Entscheid E. 3 S. 6).</w:t>
      </w:r>
    </w:p>
    <w:p>
      <w:r>
        <w:rPr>
          <w:b/>
        </w:rPr>
        <w:t>E. 2.2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w:t>
      </w:r>
    </w:p>
    <w:p>
      <w:r>
        <w:rPr>
          <w:b/>
        </w:rPr>
        <w:t>E. 2.3</w:t>
      </w:r>
    </w:p>
    <w:p>
      <w:r>
        <w:t>Die Rekurskommission hat weder Tatsachen festgestellt, die der Staatsanwaltschaft beim Erlass des Strafbefehls gegen den Beschwerdeführer unbekannt waren, noch eigene Beweise erhoben, und die Staatsanwaltschaft hat bei der Rechtsanwendung auf den Sachverhalt alle massgeblichen Rechtsfragen abgeklärt. Für die Rekurskommission bestand somit nach der Rechtsprechung (oben E. 2.2) kein Spielraum, von den Sachverhaltsfeststellungen des Strafbefehls abzuweichen.</w:t>
      </w:r>
    </w:p>
    <w:p>
      <w:r>
        <w:t>Es trifft im Übrigen nicht zu, dass klare Anhaltspunkte dafür bestehen, dass die Tatsachenfeststellungen der Staatsanwaltschaft offensichtlich falsch sind. Die von ihr dem Strafbefehl zugrunde gelegte Version des Tatablaufs - der Beschwerdeführer habe das Fahrzeug vor ihm überholt, anschliessend ohne durch die Verkehrssituation gebotenen Anlass brüsk gebremst und dadurch eine Auffahrkollision verursacht - lässt sich jedenfalls mit den polizeilichen Ermittlungen vereinbaren und wurde vom Beschwerdeführer, indem er den Strafbefehl unangefochten liess, gleichsam anerkannt. Nachdem der Beschwerdeführer vom Strassenverkehrsamt zudem zweimal ausdrücklich darauf hingewiesen worden war, dass strafrechtliche Schuldsprüche für das Administrativverfahren verbindlich seien und eine Verurteilung nach Art. 90 Ziff. 2 SVG in der Regel einen Führerausweisentzug von mindestens 3 Monaten nach sich zögen, muss er sich die Rechtskraft des Strafbefehls auch nach Treu und Glauben entgegenhalten lassen. Die Rekurskommission hat unter diesen Umständen den bundesrechtlichen Grundsatz der Einheit der Rechtsordnung verletzt, indem sie sich über die Sachverhaltsfeststellungen des rechtskräftigen Strafbefehls hinwegsetzte und aufgrund einer eigenen Beweiswürdigung zum Schluss kam, dem Beschwerdeführer sei kein "Schikanestopp" nachzuweisen. Die Rüge ist begründet.</w:t>
      </w:r>
    </w:p>
    <w:p>
      <w:r>
        <w:rPr>
          <w:b/>
        </w:rPr>
        <w:t>E. 3</w:t>
      </w:r>
    </w:p>
    <w:p>
      <w:r>
        <w:t>Die Beschwerde ist somit gutzuheissen und der angefochtene Entscheid aufzuheben, womit die Entzugsverfügung des Strassenverkehrs- und Schifffahrtsamts vom 5. April 2012 wieder auflebt bzw. ihre Gültigkeit behält. Die Sache ist zur Neuregelung der Kosten- und Entschädigungsfolgen an die Rekurskommission zurückzuweisen.</w:t>
      </w:r>
    </w:p>
    <w:p>
      <w:r>
        <w:t>Bei diesem Ausgang des Verfahrens trägt der Beschwerdegegner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