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1C_617/2012 vom 3. Mai 2013</w:t>
      </w:r>
    </w:p>
    <w:p>
      <w:r>
        <w:t>Bundesgericht, 2013-05-03, FR</w:t>
      </w:r>
    </w:p>
    <w:p>
      <w:r>
        <w:rPr>
          <w:b/>
        </w:rPr>
        <w:t xml:space="preserve">Quelle: </w:t>
      </w:r>
      <w:r>
        <w:t>https://mcp.opencaselaw.ch/entscheid/bger_1C_617_2012</w:t>
      </w:r>
    </w:p>
    <w:p>
      <w:r>
        <w:t>FR: TF 1C_617/2012 du 3 mai 2013</w:t>
      </w:r>
    </w:p>
    <w:p>
      <w:r>
        <w:t>IT: TF 1C_617/2012 del 3 maggio 2013</w:t>
      </w:r>
    </w:p>
    <w:p>
      <w:pPr>
        <w:pStyle w:val="Heading2"/>
      </w:pPr>
      <w:r>
        <w:t>Erwägungen</w:t>
      </w:r>
    </w:p>
    <w:p>
      <w:r>
        <w:rPr>
          <w:b/>
        </w:rPr>
        <w:t>E. 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Les recourantes, qui ont pris part à la procédure devant la Cour de justice, sont particulièrement touchées par l'arrêt attaqué qui annule l'aliénation, respectivement le partage-attribution, des vingt-trois appartements qui avait été autorisée par le département. Elles ont donc la qualité pour agir au sens de l' art. 89 al. 1 LTF .</w:t>
      </w:r>
    </w:p>
    <w:p>
      <w:r>
        <w:rPr>
          <w:b/>
        </w:rPr>
        <w:t>E. 2</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w:t>
      </w:r>
    </w:p>
    <w:p>
      <w:r>
        <w:t>Exception</w:t>
      </w:r>
    </w:p>
    <w:p>
      <w:r>
        <w:rPr>
          <w:b/>
        </w:rPr>
        <w:t>E. 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Dans ce contexte, le recourant est soumis aux exigences accrues de motivation de l' art. 106 al. 2 LTF .</w:t>
      </w:r>
    </w:p>
    <w:p>
      <w:r>
        <w:t>En outre, pour qu'une décision soit annulée au titre de l'arbitraire, il ne suffit pas qu'elle se fonde sur une motivation insoutenable; encore faut-il qu'elle apparaisse arbitraire dans son résultat ( ATF 136 III 552 consid. 4.2 p. 560).</w:t>
      </w:r>
    </w:p>
    <w:p>
      <w:r>
        <w:rPr>
          <w:b/>
        </w:rPr>
        <w:t>E. 2.2</w:t>
      </w:r>
    </w:p>
    <w:p>
      <w:r>
        <w:t>La LDTR a pour but la préservation de l'habitat et des conditions de vie existants, en prévoyant notamment des restrictions quant à l'aliénation des appartements destinés à la location ( art. 1 al. 2 let . c LDTR). Ces mesures figurent à l'art. 39 de la loi, dont la teneur est la suivante:</w:t>
      </w:r>
    </w:p>
    <w:p>
      <w:r>
        <w:t>Art. 39 Aliénation</w:t>
      </w:r>
    </w:p>
    <w:p>
      <w:r>
        <w:t>1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w:t>
      </w:r>
    </w:p>
    <w:p>
      <w:r>
        <w:t>Motifs de refus</w:t>
      </w:r>
    </w:p>
    <w:p>
      <w:r>
        <w:rPr>
          <w:b/>
        </w:rPr>
        <w:t>E. 2.3</w:t>
      </w:r>
    </w:p>
    <w:p>
      <w:r>
        <w:t>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 ATF 128 I 206 consid. 5.2.4 p. 211 s.; 113 Ia 126 consid. 7a p. 134; 111 Ia 23 consid. 3a p. 26 et les arrêts cités). Par ailleurs, la réglementation mise en place par la LDTR est en soi conforme au droit fédéral et à la garantie de la propriété, y compris dans la mesure où elle prévoit un contrôle des loyers après transformations (cf. ATF 116 Ia 401 consid. 9 p. 414); de même, le refus de l'autorisation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de refus au regard des intérêts privés en jeu ( ATF 113 Ia 126 consid. 7b/aa p. 137).</w:t>
      </w:r>
    </w:p>
    <w:p>
      <w:r>
        <w:t>3.</w:t>
      </w:r>
    </w:p>
    <w:p>
      <w:r>
        <w:t>Selon les recourantes, la Cour de justice aurait appliqué arbitrairement l' art. 39 al. 4 let . d LDTR. Le tribunal aurait dû appliquer cette disposition puisqu'elles avaient obtenu une autorisation d'aliéner en 1998 (autorisation DD 84'408/5).</w:t>
      </w:r>
    </w:p>
    <w:p>
      <w:r>
        <w:t>La Cour de justice a considéré que l'autorisation de 1998 était une autorisation de construire, destinée à déployer ses effets au regard de l'état de fait qui prévalait à la date de la décision. Selon cette autorisation, les copropriétaires étaient autorisés à terminer les travaux entrepris suivant les plans modifiés, puis à revendre ou à louer les appartements rénovés ou nouvellement construits, le statut des locataires en place étant protégé. Après exécution des opérations que l'autorisation précitée permettait, celle-là cessait de déployer ses effets. Or, à l'issue des travaux, les copropriétaires avaient opté pour la mise en location des vingt-trois appartements et leur immeuble a pris le statut d'"immeuble d'habitation affecté à la location" au sens de l'art. 39 al. 1 LDTR, soumis aux restrictions d'aliénation instaurée par cette disposition.</w:t>
      </w:r>
    </w:p>
    <w:p>
      <w:r>
        <w:t>Les recourantes se contentent d'affirmer que l'autorisation d'aliéner à laquelle fait référence l' art. 39 al. 4 let . d LDTR doit simplement avoir été obtenue une fois par les propriétaires, sans forcément avoir été utilisée. Elles n'expliquent toutefois pas en quoi le raisonnement précité de la Cour de justice serait arbitraire, ce qui n'est manifestement pas le cas. Il apparaît en effet qu'aucun appartement situé dans l'immeuble litigieux n'a été vendu à la faveur de l'autorisation de 1998, si bien que l' art. 39 al. 4 let . d LDTR ne trouve pas application dans le cas d'espèce. Ce premier grief doit être écarté.</w:t>
      </w:r>
    </w:p>
    <w:p>
      <w:r>
        <w:t>4.</w:t>
      </w:r>
    </w:p>
    <w:p>
      <w:r>
        <w:t>Les recourantes soutiennent ensuite que les juges cantonaux auraient violé les principes de l'égalité, de la garantie propriété et de la proportionnalité en procédant à une pesée des intérêts arbitraire.</w:t>
      </w:r>
    </w:p>
    <w:p>
      <w:r>
        <w:rPr>
          <w:b/>
        </w:rPr>
        <w:t>E. 3</w:t>
      </w:r>
    </w:p>
    <w:p>
      <w:r>
        <w:t>[...]</w:t>
      </w:r>
    </w:p>
    <w:p>
      <w:r>
        <w:t>Motifs d'autorisation</w:t>
      </w:r>
    </w:p>
    <w:p>
      <w:r>
        <w:rPr>
          <w:b/>
        </w:rPr>
        <w:t>E. 4</w:t>
      </w:r>
    </w:p>
    <w:p>
      <w:r>
        <w:t>Le département autorise l'aliénation d'un appartement si celui-ci:</w:t>
      </w:r>
    </w:p>
    <w:p>
      <w:r>
        <w:t>a) a été dès sa construction soumis au régime de la propriété par étages ou à une forme de propriété analogue;</w:t>
      </w:r>
    </w:p>
    <w:p>
      <w:r>
        <w:t>b) était, le 30 mars 1985, soumis au régime de la propriété par étages ou à une forme de propriété analogue et qu'il avait déjà été cédé de manière individualisée;</w:t>
      </w:r>
    </w:p>
    <w:p>
      <w:r>
        <w:t>c) n'a jamais été loué;</w:t>
      </w:r>
    </w:p>
    <w:p>
      <w:r>
        <w:t>d) a fait une fois au moins l'objet d'une autorisation d'aliéner en vertu de la présente loi.</w:t>
      </w:r>
    </w:p>
    <w:p>
      <w:r>
        <w:t>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d'une autorisation individualisée au sens du présent alinéa.</w:t>
      </w:r>
    </w:p>
    <w:p>
      <w:r>
        <w:t>Relogement du locataire</w:t>
      </w:r>
    </w:p>
    <w:p>
      <w:r>
        <w:rPr>
          <w:b/>
        </w:rPr>
        <w:t>E. 4.1</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129 I 113 consid. 5.1 p. 125; 125 I 1 consid. 2b/aa p. 4; 123 I 1 consid. 6a p. 7 et la jurisprudence citée).</w:t>
      </w:r>
    </w:p>
    <w:p>
      <w:r>
        <w:rPr>
          <w:b/>
        </w:rPr>
        <w:t>E. 4.2</w:t>
      </w:r>
    </w:p>
    <w:p>
      <w:r>
        <w:t>En l'espèce, la Cour de justice a relevé que le partage-attribution litigieux avait pour effet principal d'attribuer à l'une ou l'autre des trois recourantes les droits exclusifs sur l'un ou l'autre des vingt-trois appartements, droits dont jusque-là elles étaient copropriétaires à concurrence d'un certain pourcentage. Certes, cette opération ne faisait intervenir aucune cession à un tiers. Elle respectait la proportion des droits de copropriété et les vingt-trois appartements restaient affectés à la location. Toutefois, après qu'en 2009 les copropriétaires avaient soumis l'immeuble au régime de la PPE, le partage-attribution entre celles-ci de droits de copropriété portant jusque-là sur l'ensemble d'un immeuble affecté à la location, conduisait à une diminution de la protection du parc locatif conférée par la LDTR, en accentuant le risque que, par une vente ultérieure, l'un ou l'autre des appartements perde son affectation locative. Cet élément était d'importance dans la pesée des intérêts et n'était pas contrebalancé par le fait que le partage-attribution conduirait, malgré la répartition, au maintien de lots d'appartements gardant une certaine importance (deux fois six et une fois onze). Dans ces circonstances, le département n'aurait pas dû autoriser le partage-attribution qui lui était soumis, dès lors qu'il était contraire à l'art. 39 al. 1 LDTR.</w:t>
      </w:r>
    </w:p>
    <w:p>
      <w:r>
        <w:rPr>
          <w:b/>
        </w:rPr>
        <w:t>E. 4.3</w:t>
      </w:r>
    </w:p>
    <w:p>
      <w:r>
        <w:t>Les recourantes estiment que l'intérêt public n'est pas mis en péril par l'opération litigieuse. Une éventuelle vente ultérieure serait en effet de toute façon soumise à une nouvelle demande d'autorisation d'aliéner, qui ouvrirait une voie de droit aux tiers pour faire valoir leurs objections. Ensuite, selon la jurisprudence cantonale, les ventes en bloc devaient être préférées aux ventes par unités séparées et, dans le cas particulier, le risque de perte d'affectation locative était abstrait puisque les droits et obligations découlant des contrats de bail en cours étaient repris par les attributaires. La Cour de justice se référait par ailleurs à tort aux arrêts du Tribunal fédéral du 14 juillet 2011 (arrêts 1C_137/2011, 1C_139/2011, 1C_141/2011 et 1C_143/2011), où les éléments suivants avaient pesé dans la pondération des intérêts: but commercial de la société recourante, courte durée de la détention de l'immeuble, petite taille des lots, vente à des tiers. En l'occurrence, les recourantes souhaitaient préparer leur succession, possédaient leur immeuble depuis près d'un quart de siècle et les lots comprenaient entre six et onze appartements chacun; on ne saurait dès lors leur imputer une intention spéculative.</w:t>
      </w:r>
    </w:p>
    <w:p>
      <w:r>
        <w:t>Les recourantes se plaignent également d'une inégalité de traitement. Elles invoquent un arrêt de la Cour de justice du 31 juillet 2012 (ATA/490/2012) où, dans une situation identique, les juges cantonaux étaient parvenus à un résultat inverse. Il ressort de cet arrêt que les vendeurs avaient souhaité l'aliénation querellée pour anticiper un partage successoral. Selon la Cour de justice, une vente en bloc étant possible au regard de l'art. 39 LDTR et de la jurisprudence, le département pouvait, au vu des considérations du cas d'espèce, admettre qu'une aliénation de ce type ne contrevenait pas au but de la LDTR de protection du marché locatif. L'intérêt public n'était menacé d'aucune manière, puisqu'aucune autorisation d'aliéner individuellement les appartements de l'immeuble n'avait été délivrée, que les vendeurs s'étaient engagés à reprendre les droits et obligations résultant des baux en cours et que les copropriétaires n'avaient pas cherché (à) ou souhaité vendre les appartements de l'immeuble. De plus, les intéressés possédant ce bien immobilier depuis plus d'une décennie, leurs intentions "spéculatives" n'étaient ainsi pas prouvées. En faisant primer l'intérêt privé des intimés, le département n'avait ainsi pas mésusé de son large pouvoir d'appréciation, découlant de l'art. 13 al. 1 RDTR.</w:t>
      </w:r>
    </w:p>
    <w:p>
      <w:r>
        <w:rPr>
          <w:b/>
        </w:rPr>
        <w:t>E. 4.4</w:t>
      </w:r>
    </w:p>
    <w:p>
      <w:r>
        <w:t>Avec les recourantes, on doit effectivement admettre que, de manière identique aux vendeurs dans la procédure ATA/490/2012, l'opération de partage-attribution litigieuse avait pour but d'anticiper les problématiques découlant de la succession, et non de mettre en oeuvre une opération spéculative. Ce fait a été établi et pris en compte par le TAPI dans son jugement du 2 novembre 2011, alors que la Cour de justice l'a ignoré dans sa pesée des intérêts. Or, il apparaît qu'en annulant le partage-attribution des recourantes, peu de temps après avoir confirmé la même opération dans l'affaire ATA/490/2012, la cour cantonale a traité de manière différente deux situations similaires, sans qu'on n'en puisse discerner les raisons objectives : il ressort du dossier que les recourantes ont acquis l'immeuble en 1988, qu'elles l'ont soumis au régime de la PPE en 2009 et ont requis une autorisation d'aliéner pour pouvoir procéder par anticipation à une sorte de partage successoral, que les lots convenus comprennent entre six et onze appartements et qu'elles n'ont pas l'intention d'aliéner ces appartements offerts à la location. Dans ces conditions, il est difficile de saisir pourquoi la Cour de justice a considéré que cette opération de partage-attribution était contraire à l'art. 39 al. 1 LDTR alors que, dans l'affaire ATA/490/2012, elle a estimé qu'une aliénation de ce type ne contrevenait pas au but de la LDTR de protection du marché locatif.</w:t>
      </w:r>
    </w:p>
    <w:p>
      <w:r>
        <w:t>Au vu de ces éléments, la pesée des intérêts effectuée par la Cour de justice, qui omet de prendre en compte le motif invoqué par les recourantes pour individualiser leurs parts de PPE, est insoutenable et aboutit à un résultat arbitraire, puisqu'elle consacre une inégalité de traitement. La motivation de l'arrêt attaqué ne peut dès lors être suivie et il sied au contraire de considérer, avec le TAPI, que l'intérêt public visé par la LDTR n'est pas réellement remis en cause par l'autorisation litigieuse et que l'intérêt privé des recourantes doit l'emporter.</w:t>
      </w:r>
    </w:p>
    <w:p>
      <w:r>
        <w:rPr>
          <w:b/>
        </w:rPr>
        <w:t>E. 5</w:t>
      </w:r>
    </w:p>
    <w:p>
      <w:r>
        <w:t>Il résulte de ce qui précède que le recours doit être admis, sans qu'il soit besoin d'examiner les autres griefs des recourantes. L'arrêt attaqué est annulé et l'arrêté du département du 26 mai 2010 est confirmé. L'affaire est renvoyée à la Cour de justice pour nouvelle décision sur les frais et dépens de la procédure cantonale ( art. 67 et 68 al. 5 LTF ).</w:t>
      </w:r>
    </w:p>
    <w:p>
      <w:r>
        <w:t>Les frais judiciaires sont mis à la charge de l'intimée qui succombe ( art. 66 al. 1 LTF ). Celle-ci devra également s'acquitter d'une indemnité de dépens en faveur des recourantes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