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1C_615/2018 vom 26. November 2018</w:t>
      </w:r>
    </w:p>
    <w:p>
      <w:r>
        <w:t>Bundesgericht, 2018-11-26, FR</w:t>
      </w:r>
    </w:p>
    <w:p>
      <w:r>
        <w:rPr>
          <w:b/>
        </w:rPr>
        <w:t xml:space="preserve">Quelle: </w:t>
      </w:r>
      <w:r>
        <w:t>https://mcp.opencaselaw.ch/entscheid/bger_1C_615_2018</w:t>
      </w:r>
    </w:p>
    <w:p>
      <w:r>
        <w:t>FR: TF 1C_615/2018 du 26 novembre 2018</w:t>
      </w:r>
    </w:p>
    <w:p>
      <w:r>
        <w:t>IT: TF 1C_615/2018 del 26 novembre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documents bancaires, soit des renseignements touchant le domaine secret. Toutefois, compte tenu des faits à l'origine de la demande (des infractions dépourvues de caractère politique ou fiscal) et de la nature de la transmission envisagée (limitée à la documentation relative à cinq comptes bancaires), le cas ne revêt en soi aucune importance particulière.</w:t>
      </w:r>
    </w:p>
    <w:p>
      <w:r>
        <w:rPr>
          <w:b/>
        </w:rPr>
        <w:t>E. 1.3</w:t>
      </w:r>
    </w:p>
    <w:p>
      <w:r>
        <w:t>Les recourants se plaignent d'une violation de leur droit d'être entendus en raison du fait qu'ils n'ont pas eu accès aux compléments des 18 novembre 2014 et 29 janvier 2016. La Cour des plaintes ne pouvait retenir, sur la seule foi des déclarations du Ministère public, que ces documents n'étaient pas pertinents puisqu'ils ont été intégrés dans le même dossier et portent le même numéro de référence. Outre qu'il ne porte pas sur une question de principe, le grief est manifestement mal fondé: à l'instar du droit d'être entendu ( art. 29 Cst. ) l' art. 80b EIMP ne garantit l'accès qu'aux pièces pertinentes du dossier. En l'occurrence, les ordonnances d'entrée en matière et de clôture ne font aucune référence aux compléments précités, de sorte que l'admissibilité de l'entraide pouvait - et devait - être examinée sur la seule base des demandes des 21 juillet 2014 et 2 février 2016. Quant au complément du 29 janvier 2016, il a finalement été remis non caviardé aux recourants ce qui a permis à ceux-ci de vérifier qu'aucun élément pertinent ne leur aurait échappé. Il n'y a sur ce point aucune violation du droit d'être entendu. Pour le surplus, les recourants se plaignent d'une insuffisance de motivation tant à l'égard de la demande d'entraide que des décisions de clôture. Ces griefs ne soulèvent aucune question de principe.</w:t>
      </w:r>
    </w:p>
    <w:p>
      <w:r>
        <w:rPr>
          <w:b/>
        </w:rPr>
        <w:t>E. 1.4</w:t>
      </w:r>
    </w:p>
    <w:p>
      <w:r>
        <w:t>Il en va de même du grief relatif au principe de la proportionnalité. Les décisions de clôture (citées dans l'arrêt attaqué au considérant relatif à la motivation) considèrent que l'autorité suisse n'a pas à "apprécier l'utilité procédurale" des documents transmis. Cela signifie que l'autorité d'entraide n'a pas à se substituer au juge du fond et à se livrer à une libre appréciation des preuves. L'arrêt attaqué rappelle pour sa part dans le détail la portée du principe d'utilité potentielle, de manière conforme à la pratique constante.</w:t>
      </w:r>
    </w:p>
    <w:p>
      <w:r>
        <w:rPr>
          <w:b/>
        </w:rPr>
        <w:t>E. 1.5</w:t>
      </w:r>
    </w:p>
    <w:p>
      <w:r>
        <w:t>Les recourants estiment enfin que la procédure concernerait une affaire politiquement sensible avec un retentissement médiatique important. Ils se contentent d'évoquer que l'un d'entre eux serait un proche du président congolais, sans prétendre que ce dernier serait directement impliqué. Le paiement de pots-de-vin à de hauts responsables est par nature susceptible d'avoir des incidences médiatiques et politiques. Cela ne suffit pas pour faire de la présente cause une affaire particulièrement importante. En effet, les infractions poursuivies sont des délits de droit commun et il n'est pas prétendu que la procédure pénale ouverte au Royaume-Uni poursuivrait un but caché de nature politique.</w:t>
      </w:r>
    </w:p>
    <w:p>
      <w:r>
        <w:rPr>
          <w:b/>
        </w:rPr>
        <w:t>E. 1.6</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