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1C_611/2018 vom 18. April 2019</w:t>
      </w:r>
    </w:p>
    <w:p>
      <w:r>
        <w:t>Bundesgericht, 2019-04-18, FR</w:t>
      </w:r>
    </w:p>
    <w:p>
      <w:r>
        <w:rPr>
          <w:b/>
        </w:rPr>
        <w:t xml:space="preserve">Quelle: </w:t>
      </w:r>
      <w:r>
        <w:t>https://mcp.opencaselaw.ch/entscheid/bger_1C_611_2018</w:t>
      </w:r>
    </w:p>
    <w:p>
      <w:r>
        <w:t>FR: TF 1C_611/2018 du 18 avril 2019</w:t>
      </w:r>
    </w:p>
    <w:p>
      <w:r>
        <w:t>IT: TF 1C_611/2018 del 18 aprile 2019</w:t>
      </w:r>
    </w:p>
    <w:p>
      <w:pPr>
        <w:pStyle w:val="Heading2"/>
      </w:pPr>
      <w:r>
        <w:t>Erwägungen</w:t>
      </w:r>
    </w:p>
    <w:p>
      <w:r>
        <w:rPr>
          <w:b/>
        </w:rPr>
        <w:t>E. 1</w:t>
      </w:r>
    </w:p>
    <w:p>
      <w:r>
        <w:t>La voie du recours en matière de droit public, au sens des art. 82 ss LTF , est en principe ouverte contre une décision de dernière instance cantonale ( art. 86 al. 1 let . d LTF) au sujet d'une mesure administrative de retrait du permis de conduire ( art. 82 let. a LTF ), aucune des exceptions mentionnées à l' art. 83 LTF n'étant réalisée. Le recourant est particulièrement atteint par l'arrêt attaqué qui confirme le retrait de son permis de conduire pour une durée de douze mois; il a un intérêt digne de protection à son annulation ( art. 89 al. 1 LTF ). Le recours a en outre été déposé en temps utile et dans les formes requises.</w:t>
      </w:r>
    </w:p>
    <w:p>
      <w:r>
        <w:rPr>
          <w:b/>
        </w:rPr>
        <w:t>E. 2</w:t>
      </w:r>
    </w:p>
    <w:p>
      <w:r>
        <w:t>Le recourant relève que la décision administrative de la CMA a été rendue avant l'ordonnance pénale, de sorte que l'autorité administrative ne peut être liée par les constatations de fait opérées par l'autorité pénale. Il se plaint d'une violation de la maxime inquisitoire.</w:t>
      </w:r>
    </w:p>
    <w:p>
      <w:r>
        <w:rPr>
          <w:b/>
        </w:rPr>
        <w:t>E. 2.1</w:t>
      </w:r>
    </w:p>
    <w:p>
      <w:r>
        <w:t>La maxime inquisitoire impose à l'autorité d'établir d'office les faits pertinents pour assurer une application correcte de la loi. L'autorité doit procéder à une administration et à une appréciation des preuves nécessaires, voire à de plus amples investigations si elle conserve un doute quant au caractère complet et exact de l'état de fait résultant des preuves déjà administrées. Elle n'a en revanche pas à épuiser toutes les possibilités d'investigations si l'état de fait lui paraît suffisamment établi (cf. ATF 128 III 411 consid. 3.2.1 p. 413 et les arrêts cités; ATF 110 V 48 consid. 4a p. 52 et les références; cf. ATF 140 I 285 consid. 6.3.1 p. 298).</w:t>
      </w:r>
    </w:p>
    <w:p>
      <w:r>
        <w:rPr>
          <w:b/>
        </w:rPr>
        <w:t>E. 2.2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 ATF 123 II 97 consid. 3c/aa p. 104; arrêt 1C_631/2014 du 20 mars 2015 consid. 2.1).</w:t>
      </w:r>
    </w:p>
    <w:p>
      <w:r>
        <w:rPr>
          <w:b/>
        </w:rPr>
        <w:t>E. 2.3</w:t>
      </w:r>
    </w:p>
    <w:p>
      <w:r>
        <w:t>L'arrêt attaqué confirme un retrait de permis prononcé, en première instance, le 22 juin 2017, soit avant que l'ordonnance pénale du 14 juillet 2017 n'ait été rendue. Le Tribunal cantonal dispose cependant du même pouvoir d'examen que la CMA (art. 77 du code fribourgeois de procédure et de juridiction administrative du 23 mai 1991 [CPJA; RSF 150.1]), de sorte qu'il est habilité à se fonder sur les constatations de fait du jugement pénal entré en force entre temps. Cela est d'autant plus vrai qu'en l'occurrence les constatations de fait du jugement pénal correspondent à celles de la décision de la CMA.</w:t>
      </w:r>
    </w:p>
    <w:p>
      <w:r>
        <w:t>Par ailleurs, invité à se déterminer par la CMA, le recourant y a renoncé. Il n'a pas non plus demandé la suspension de la procédure administrative dans l'attente du jugement pénal. Il n'a pas non plus contesté l'ordonnance pénale, laquelle est définitive et exécutoire. Dans ces circonstances, le juge administratif pouvait s'estimer lié par les constatations de fait de l'ordonnance pénale du 14 juillet 2017, entrée en force le 1</w:t>
      </w:r>
    </w:p>
    <w:p>
      <w:r>
        <w:t>er août 2017. Il importe peu que la décision de la CMA ait été rendue avant l'ordonnance pénale. Mal fondé, le grief doit être rejeté.</w:t>
      </w:r>
    </w:p>
    <w:p>
      <w:r>
        <w:rPr>
          <w:b/>
        </w:rPr>
        <w:t>E. 3</w:t>
      </w:r>
    </w:p>
    <w:p>
      <w:r>
        <w:t>Le recourant fait aussi valoir une violation du droit d'être entendu ( art. 29 al. 2 Cst. ).</w:t>
      </w:r>
    </w:p>
    <w:p>
      <w:r>
        <w:rPr>
          <w:b/>
        </w:rPr>
        <w:t>E. 3.1</w:t>
      </w:r>
    </w:p>
    <w:p>
      <w:r>
        <w:t>Il se plaint d'abord d'une violation de l'accès au dossier, au motif que l'ordonnance pénale du 14 juillet 2017 ne figurait pas au dossier transmis au recourant le 24 juillet 2017.</w:t>
      </w:r>
    </w:p>
    <w:p>
      <w:r>
        <w:t>Compris comme l'un des aspects de la notion générale de procès équitable au sens de l' art. 29 Cst. , le droit d'être entendu garantit notamment à une partie à la procédure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w:t>
      </w:r>
    </w:p>
    <w:p>
      <w:r>
        <w:t>En l'espèce, la critique peut être d'emblée rejetée dans la mesure où le recourant, destinataire de l'ordonnance pénale du 14 juillet 2017, ne prétend pas ne pas avoir eu connaissance de l'ordonnance précitée qui lui a été notifiée par les autorités pénales. Il a par ailleurs renoncé à contester cette ordonnance pénale et a payé l'amende à laquelle elle le condamnait.</w:t>
      </w:r>
    </w:p>
    <w:p>
      <w:r>
        <w:rPr>
          <w:b/>
        </w:rPr>
        <w:t>E. 3.2</w:t>
      </w:r>
    </w:p>
    <w:p>
      <w:r>
        <w:t>Le recourant reproche ensuite à l'instance précédente de ne pas avoir donné suite à ses réquisitions de preuve supplémentaires qui concernaient la photographie prise lors du contrôle radar, le certificat de vérification de l'appareil ayant servi au contrôle, le protocole de vérification en début de fonctionnement, les photographies tests en début et en fin de contrôle ainsi que l'autorisation du propriétaire de l'immeuble privé sur lequel l'appareil semble avoir été placé.</w:t>
      </w:r>
    </w:p>
    <w:p>
      <w:r>
        <w:rPr>
          <w:b/>
        </w:rPr>
        <w:t>E. 3.2.1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136 I 229 consid. 5.3 p. 236 s.).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rPr>
          <w:b/>
        </w:rPr>
        <w:t>E. 3.2.2</w:t>
      </w:r>
    </w:p>
    <w:p>
      <w:r>
        <w:t>Le grief peut être rejeté dans la mesure où le dossier photographique pris lors du contrôle radar figure au dossier de la CMA, transmis au Tribunal cantonal. Quant aux autres réquisitions de preuve, la juridiction précédente pouvait les écarter sur la base d'une appréciation anticipée, à tout le moins implicitement, en se fondant sur le rapport de police cantonale, sur le dossier photographique pris lors du contrôle radar et sur le formulaire du conducteur responsable dûment rempli et signé par le recourant. Elle pouvait de surcroît s'estimer liée par les constatations de fait de l'ordonnance pénale du 14 juillet 2017, entrée en force (cf. supra consid. 2). En effet, selon la jurisprudence, la personne impliquée qui sait qu'il y a aussi une procédure de retrait de permis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arrêt 1C_631/2014 du 20 mars 2015 consid. 2.1).</w:t>
      </w:r>
    </w:p>
    <w:p>
      <w:r>
        <w:rPr>
          <w:b/>
        </w:rPr>
        <w:t>E. 4</w:t>
      </w:r>
    </w:p>
    <w:p>
      <w:r>
        <w:t>Le recourant se plaint enfin sommairement d'une violation de l' art. 112 LTF , au motif qu' "il ne résulte ni du dossier ni de la décision attaquée quels sont les moyens de preuve offerts et administrés ou non". Ce grief peut être écarté rapidement dans la mesure où les moyens de preuve offerts ressortent du dossier cantonal ( art. 112 al. 1 let. a LTF</w:t>
      </w:r>
    </w:p>
    <w:p>
      <w:r>
        <w:t>a contrario ), même s'ils n'ont pas été énumérés dans l'arrêt attaqué. Le Tribunal fédéral a ainsi pu statuer sur le grief en lien avec l'administration des preuves (supra consid. 3.2).</w:t>
      </w:r>
    </w:p>
    <w:p>
      <w:r>
        <w:rPr>
          <w:b/>
        </w:rPr>
        <w:t>E. 5</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