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1C_611/2015 vom 10. Dezember 2015</w:t>
      </w:r>
    </w:p>
    <w:p>
      <w:r>
        <w:t>Bundesgericht, 2015-12-10, DE</w:t>
      </w:r>
    </w:p>
    <w:p>
      <w:r>
        <w:rPr>
          <w:b/>
        </w:rPr>
        <w:t xml:space="preserve">Quelle: </w:t>
      </w:r>
      <w:r>
        <w:t>https://mcp.opencaselaw.ch/entscheid/bger_1C_611_2015</w:t>
      </w:r>
    </w:p>
    <w:p>
      <w:r>
        <w:t>FR: TF 1C_611/2015 du 10 décembre 2015</w:t>
      </w:r>
    </w:p>
    <w:p>
      <w:r>
        <w:t>IT: TF 1C_611/2015 del 10 dicembre 2015</w:t>
      </w:r>
    </w:p>
    <w:p>
      <w:pPr>
        <w:pStyle w:val="Heading2"/>
      </w:pPr>
      <w:r>
        <w:t>Erwägungen</w:t>
      </w:r>
    </w:p>
    <w:p>
      <w:r>
        <w:rPr>
          <w:b/>
        </w:rPr>
        <w:t>E. 1</w:t>
      </w:r>
    </w:p>
    <w:p>
      <w:r>
        <w:t>Am 1. April 2011 trat das Bundesgesetz vom 1. Oktober 2010 über die Koordination des Asyl- und des Auslieferungsverfahrens (Koordinationsgesetz; AS 2011 925 ff.) in Kraft. Es stellt einen Mantelerlass dar. Damit wurden ausschliesslich das Bundesgerichtsgesetz, das Asylgesetz (AsylG; SR 142.31) und das Rechtshilfegesetz (IRSG SR 351.1) geändert.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S. 515 f. mit Hinweisen).</w:t>
      </w:r>
    </w:p>
    <w:p>
      <w:r>
        <w:t>Am 13. August 2014 lehnte das Bundesamt für Migration (heute: Staatssekretariat für Migration) das Asylgesuch des Beschwerdeführers ab. Die von diesem hiergegen erhobene Beschwerde wies das Bundesverwaltungsgericht am 13. Juli 2015 ab. Dagegen reichte der Beschwerdeführer Beschwerde in öffentlich-rechtlichen Angelegenheiten ein. Darüber befindet das Bundesgericht mit separatem Urteil vom heutigen Tag (1C_401/2015). Die Koordination des Auslieferungs- und des Asylverfahrens ist damit sichergestellt.</w:t>
      </w:r>
    </w:p>
    <w:p>
      <w:r>
        <w:t>Da dem Bundesgericht die Akten des Asylverfahrens vorliegen, ist Art. 55a IRSG , der ihren Beizug vorschreibt, Genüge getan.</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Was der Beschwerdeführer vorbringt, ist ungeeignet, einen besonders bedeutenden Fall darzutun. Die Vorinstanz hat sich mit seinen Einwänden eingehend auseinandergesetzt. Ihre Erwägungen, auf welche verwiesen werden kann ( Art. 109 Abs. 3 BGG ), stützen sich auf die bundesgerichtliche Rechtsprechung und lassen keine Bundesrechtsverletzung erkennen. Das gilt insbesondere, soweit die Vorinstanz den Alibibeweis als nicht erbracht und die Einrede des politischen Delikts als unbegründet beurteilt hat. Hinreichende Anhaltspunkte dafür, dass das türkische Strafverfahren schwere Mängel aufweist, liegen nicht vor. Rechtsfragen von grundsätzlicher Bedeutung stellen sich nicht. Für das Bundesgericht besteht deshalb kein Anlass, die Sache an die Hand zu nehmen.</w:t>
      </w:r>
    </w:p>
    <w:p>
      <w:r>
        <w:t>Die Beschwerde ist demnach unzulässig. Die Einräumung einer Nachfrist zur Ergänzung der Beschwerdebegründung gemäss Art. 43 BGG fällt damit ausser Betracht (lit. a).</w:t>
      </w:r>
    </w:p>
    <w:p>
      <w:r>
        <w:rPr>
          <w:b/>
        </w:rPr>
        <w:t>E. 3</w:t>
      </w:r>
    </w:p>
    <w:p>
      <w:r>
        <w:t>Da die Beschwerde aussichtslos war, kann die unentgeltliche Rechtspflege und Verbeiständung nach Art. 64 BGG nicht bewilligt werden. Unter den gegebenen Umständen - insbesondere in Anbetracht der offenbar schwierigen finanziellen Verhältnisse des Beschwerdeführers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