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1C_610/2025 vom 21. Oktober 2025</w:t>
      </w:r>
    </w:p>
    <w:p>
      <w:r>
        <w:t>Bundesgericht, 2025-10-21, DE</w:t>
      </w:r>
    </w:p>
    <w:p>
      <w:r>
        <w:rPr>
          <w:b/>
        </w:rPr>
        <w:t xml:space="preserve">Quelle: </w:t>
      </w:r>
      <w:r>
        <w:t>https://mcp.opencaselaw.ch/entscheid/bger_1C_610_2025</w:t>
      </w:r>
    </w:p>
    <w:p>
      <w:r>
        <w:t>FR: TF 1C_610/2025 du 21 octobre 2025</w:t>
      </w:r>
    </w:p>
    <w:p>
      <w:r>
        <w:t>IT: TF 1C_610/2025 del 21 ottobre 2025</w:t>
      </w:r>
    </w:p>
    <w:p>
      <w:pPr>
        <w:pStyle w:val="Heading2"/>
      </w:pPr>
      <w:r>
        <w:t>Erwägungen</w:t>
      </w:r>
    </w:p>
    <w:p>
      <w:r>
        <w:rPr>
          <w:b/>
        </w:rPr>
        <w:t>E. 1</w:t>
      </w:r>
    </w:p>
    <w:p>
      <w:r>
        <w:t>Mit Eingabe vom 20. Juni 2025 erhob A.________ Beschwerde gegen den Rekursentscheid der Sicherheitsdirektion des Kantons Zürich vom 12. Mai 2025 betreffend Entzug Fahrzeugausweis und Kontrollschild.</w:t>
      </w:r>
    </w:p>
    <w:p>
      <w:r>
        <w:t>Mit Präsidialverfügung vom 24. Juni 2025 setzte das Verwaltungsgericht A.________ eine Frist von 20 Tagen an, um die ihn allenfalls treffenden Kosten des Verfahrens durch einen Vorschuss von einstweilen Fr. 570.-- sicherzustellen, ansonsten auf die Beschwerde nicht eingetreten werde. A.________ liess die Frist ungenutzt verstreichen. Mit Einzelrichterverfügung vom 4. September 2025 trat das Verwaltungsgericht androhungsgemäss auf das Rechtsmittel nicht ein und auferlegte A.________ Gerichtskosten von Fr. 370.--.</w:t>
      </w:r>
    </w:p>
    <w:p>
      <w:r>
        <w:rPr>
          <w:b/>
        </w:rPr>
        <w:t>E. 2</w:t>
      </w:r>
    </w:p>
    <w:p>
      <w:r>
        <w:t>Mit Eingabe vom 17. Oktober 2025 hat A.________ gegen die verwaltungsgerichtliche Verfügung Beschwerde in öffentlich-rechtlichen Angelegenheiten und subsidiäre Verfassungsbeschwerde" erhoben. Er beantragt, die angefochtene Verfügung sei aufzuheben.</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Beschwerde muss sich wenigstens kurz mit den Erwägungen des angefochtenen Entscheids auseinandersetzen. Genügt die Beschwerde den Begründungsanforderungen nicht, ist auf sie nicht einzutreten ( BGE 140 V 136 E. 1.1 ; 138 I 171 E. 1.4).</w:t>
      </w:r>
    </w:p>
    <w:p>
      <w:r>
        <w:t>Die Beschwerde erfüllt diese Anforderungen offensichtlich nicht, setzt sich der Beschwerdeführer doch in keiner Weise mit dem angefochtenen Entscheid auseinander. Auf sie ist daher im vereinfachten Verfahren nach Art. 108 Abs. 1 BGG nicht einzutreten.</w:t>
      </w:r>
    </w:p>
    <w:p>
      <w:r>
        <w:t>Bei diesem Verfahrensausgang wird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