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610/2017 vom 7. Mai 2018</w:t>
      </w:r>
    </w:p>
    <w:p>
      <w:r>
        <w:t>Bundesgericht, 2018-05-07, FR</w:t>
      </w:r>
    </w:p>
    <w:p>
      <w:r>
        <w:rPr>
          <w:b/>
        </w:rPr>
        <w:t xml:space="preserve">Quelle: </w:t>
      </w:r>
      <w:r>
        <w:t>https://mcp.opencaselaw.ch/entscheid/bger_1C_610_2017</w:t>
      </w:r>
    </w:p>
    <w:p>
      <w:r>
        <w:t>FR: TF 1C 610/2017 du 7 mai 2018</w:t>
      </w:r>
    </w:p>
    <w:p>
      <w:r>
        <w:t>IT: TF 1C 610/2017 del 7 maggio 2018</w:t>
      </w:r>
    </w:p>
    <w:p>
      <w:pPr>
        <w:pStyle w:val="Heading2"/>
      </w:pPr>
      <w:r>
        <w:t>Regeste</w:t>
      </w:r>
    </w:p>
    <w:p>
      <w:r>
        <w:t>votation communale relative à la fusion entre les communes de Corcelles-Cormondrèche, Neuchâtel, Peseux et Valangin | Droits politiques</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s'en prendre aux actes préparatoires, au processus de vote ainsi qu'au résultat du vote, et dénoncer par ce moyen toute circonstance propre à fausser la manifestation de la volonté des électeurs (arrêt 1C_130/2015 du 20 janvier 2016 consid. 1). Citoyens actifs de la commune de Peseux, les recourants ont la qualité pour recourir, au sens de l' art. 89 al. 3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recourants invoquent une violation des art. 34 Cst. , 12 LDP neuch et 16 du règlement cantonal d'exécution de la loi sur les droits politiques du 17 février 2003 (RELDP, RS/NE 141.01).</w:t>
      </w:r>
    </w:p>
    <w:p>
      <w:r>
        <w:rPr>
          <w:b/>
        </w:rPr>
        <w:t>E. 2.1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l'application de normes de procédure et d'organisation qui ne touchent pas au contenu même des droits politiques ( ATF 141 I 221 consid. 3.1 p. 224 et les réf. cit.).</w:t>
      </w:r>
    </w:p>
    <w:p>
      <w:r>
        <w:rPr>
          <w:b/>
        </w:rPr>
        <w:t>E. 2.2</w:t>
      </w:r>
    </w:p>
    <w:p>
      <w:r>
        <w:t>L' 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139 I 2 consid. 6.2 p. 13 s. et les réf. cit.; arrêt 1C_130/2015 du 20 janvier 2016 consid. 3.1 publié in SJ 2016 I 357).</w:t>
      </w:r>
    </w:p>
    <w:p>
      <w:r>
        <w:rPr>
          <w:b/>
        </w:rPr>
        <w:t>E. 2.3</w:t>
      </w:r>
    </w:p>
    <w:p>
      <w:r>
        <w:t>Selon la jurisprudence, lorsque le Tribunal fédéral constate que des irrégularités ont été commises, il n'annule la votation que si celles-ci sont importantes et ont pu avoir une influence sur le résultat du vote. Il examine en principe librement cette question sur la base d'une appréciation des circonstances. Il tient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143 I 78 consid. 7.1 p. 90 s.; 141 I 221 consid. 3.3 p. 225 et les réf. cit.). Le droit cantonal neuchâtelois prescrit que les votations ne peuvent être annulées que s'il est vraisemblable que les irrégularités alléguées ont influencé de manière déterminante le résultat du scrutin ( art. 137 al. 3 LDP neuch).</w:t>
      </w:r>
    </w:p>
    <w:p>
      <w:r>
        <w:rPr>
          <w:b/>
        </w:rPr>
        <w:t>E. 2.4</w:t>
      </w:r>
    </w:p>
    <w:p>
      <w:r>
        <w:t>Aux termes de l' art. 12 al. 3 LDP neuch, "les bureaux assurent le secret et la régularité du vote; ils exercent la police des opérations qui leur sont confiées. Toute propagande ou récolte de signatures est interdite dans les locaux de vote et à leurs abords immédiats".</w:t>
      </w:r>
    </w:p>
    <w:p>
      <w:r>
        <w:rPr>
          <w:b/>
        </w:rPr>
        <w:t>E. 2.5</w:t>
      </w:r>
    </w:p>
    <w:p>
      <w:r>
        <w:t>Selon les faits établis, des opposants au projet de fusion ont monté, le jour du scrutin, devant l'entrée sud du bureau de vote, un stand avec une pancarte mentionnant "Gardons notre destin en main" et une banderole portant l'inscription "Gardons notre destin en main, préservons notre qualité de vie" ainsi que le logo "non à l'annexion". La Chancellerie d'Etat et le Tribunal cantonal ont tous deux admis, à juste titre, qu'il s'agissait d'une activité de propagande prohibée par l' art. 12 al. 3 LDP neuch. Le Tribunal cantonal a toutefois retenu que les banderoles en question ne contenaient pas d'injonctions ou de consignes agressives et étaient demeurées à l'extérieur du bureau électoral de 9h45 à 11 heures (dans l'hypothèse la plus favorable aux recourants), de sorte que la violation de la loi cantonale n'était pas grave au sens de la jurisprudence du Tribunal fédéral. Selon la cour cantonale, elle ne justifiait pas l'annulation du scrutin. On ne saurait cependant suivre l'instance précédente lorsqu'elle affirme que l'irrégularité en question n'était pas grave. La propagande dénoncée constitue une violation manifeste d'une disposition légale claire visant notamment à garantir que la volonté des électeurs s'exerce librement et à éviter toute forme de pression intempestive sur ces derniers le jour du scrutin. L'autorité communale n'a en l'occurrence pas entrepris les mesures nécessaires pour faire cesser immédiatement cette activité, le responsable de la sécurité publique ayant à tort estimé qu'elle n'était pas illégale. Elle a ainsi failli à son devoir d'assurer le déroulement régulier du scrutin. Compte tenu de l'ensemble des circonstances du cas d'espèce, il n'apparaît ainsi pas exclu que cette propagande illégale ait pu influencer le sort du scrutin. En effet, la première convention de fusion a été rejetée par 1'143 voix contre 985, soit par 158 voix d'écart; quant à la seconde convention, elle a été refusée par 1'109 voix contre 1'005, soit une différence de 104 voix sur un total de 2'114 suffrages valablement exprimés. L'écart des voix entre le "oui" et le "non" apparaît ainsi relativement faible. Or, le matin du scrutin, 96 personnes ont voté à l'urne. Il aurait donc suffit, s'agissant de la seconde convention de fusion dont le résultat est plus serré, que 53 citoyens (soit 2.5% du corps électoral ayant voté valablement) qui auraient voté négativement votent dans l'autre sens, soit approuvent cette seconde convention, pour que celle-ci soit majoritairement acceptée. La propagande des opposants à la fusion aux abords immédiats du local de vote avait d'ailleurs précisément par nature pour objectif d'influencer la formation et l'expression de l'opinion des citoyens venus voter à l'urne. Certes, comme relevé par l'instance précédente, les banderoles litigieuses ne contenaient pas d'injonctions ou de consignes agressives. Néanmoins, certains citoyens ont pu être influencés le jour du scrutin par les slogans jetant le discrédit sur la fusion de communes, et ceci sans être en mesure de prendre le recul nécessaire avant de voter. Cela étant, le résultat du scrutin relatif à la seconde convention ne peut qu'être annulé. Il en va de même de celui concernant la première convention puisque ce double vote constituait un ensemble coordonné de questions soumises à la population de la commune de Peseux, et, au demeurant, le résultat serré de la première votation est aussi susceptible d'avoir été influencé de façon décisive par la propagande illicite. Il y a donc lieu d'annuler la votation litigieuse dans la commune de Peseux portant sur les deux conventions de fusion de communes.</w:t>
      </w:r>
    </w:p>
    <w:p>
      <w:r>
        <w:rPr>
          <w:b/>
        </w:rPr>
        <w:t>E. 3</w:t>
      </w:r>
    </w:p>
    <w:p>
      <w:r>
        <w:t>Il s'ensuit que le recours est admis et que l'arrêt attaqué est annulé, sans qu'il soit nécessaire d'examiner les autres griefs soulevés. La votation communale du 5 juin 2016 est annulée. Il n'est pas perçu de frais judiciaires ( art. 66 al. 4 LTF ). Les recourants, qui obtiennent gain de cause avec l'assistance d'un avocat, ont droit à des dépens pour la procédure fédérale, à la charge de la commune de Peseux ( art. 68 al. 1 et 2 LTF ). Les dépens de la procédure cantonale peuvent aussi être fixés dans le présent arrêt ( art. 68 al. 5 LTF ). Les dépens sont ainsi arrêtés de manière globale pour les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