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1C_608/2016 vom 18. Mai 2017</w:t>
      </w:r>
    </w:p>
    <w:p>
      <w:r>
        <w:t>Bundesgericht, 2017-05-18, FR</w:t>
      </w:r>
    </w:p>
    <w:p>
      <w:r>
        <w:rPr>
          <w:b/>
        </w:rPr>
        <w:t xml:space="preserve">Quelle: </w:t>
      </w:r>
      <w:r>
        <w:t>https://mcp.opencaselaw.ch/entscheid/bger_1C_608_2016</w:t>
      </w:r>
    </w:p>
    <w:p>
      <w:r>
        <w:t>FR: TF 1C_608/2016 du 18 mai 2017</w:t>
      </w:r>
    </w:p>
    <w:p>
      <w:r>
        <w:t>IT: TF 1C_608/2016 del 18 maggio 2017</w:t>
      </w:r>
    </w:p>
    <w:p>
      <w:pPr>
        <w:pStyle w:val="Heading2"/>
      </w:pPr>
      <w:r>
        <w:t>Erwägungen</w:t>
      </w:r>
    </w:p>
    <w:p>
      <w:r>
        <w:rPr>
          <w:b/>
        </w:rPr>
        <w:t>E. 1</w:t>
      </w:r>
    </w:p>
    <w:p>
      <w:r>
        <w:t>Le ROPol est un acte normatif cantonal contre lequel un recours au sens de l' art. 82 let. b LTF est ouvert. La Cour constitutionnelle cantonale constitue l'instance précédente au sens des art. 86 al. 1 let . d et 87 al. 2 LTF. Le recourant a agi, tant pour le recours que pour son complément, dans le délai fixé à l' art. 100 al. 1 LTF .</w:t>
      </w:r>
    </w:p>
    <w:p>
      <w:r>
        <w:t>A l'encontre d'un acte normatif (contrôle abstrait), l'intérêt personnel requis pour fonder la qualité pour recourir au sens de l' art. 89 LTF peut être simplement virtuel; il suffit qu'il existe un minimum de vraisemblance que le recourant soit un jour soumis aux dispositions querellées; un intérêt de fait est suffisant ( ATF 141 I 78 consid. 3.1 p. 81; 138 I 435 consid. 1.6 p. 445; arrêt 2C_501/2015 du 12 mars 2017 destiné à la publication, consid. 2.2). Le recourant, domicilié dans le canton de Genève, est susceptible de se voir appliquer les dispositions réglementaires qu'il conteste. Cela suffit pour lui reconnaître la qualité pour agir.</w:t>
      </w:r>
    </w:p>
    <w:p>
      <w:r>
        <w:t>Le recours est ainsi recevable, sous réserve de sa motivation qu'il y aura lieu d'examiner en relation avec ses différents griefs.</w:t>
      </w:r>
    </w:p>
    <w:p>
      <w:r>
        <w:rPr>
          <w:b/>
        </w:rPr>
        <w:t>E. 2</w:t>
      </w:r>
    </w:p>
    <w:p>
      <w:r>
        <w:t>Le recourant soulève trois griefs d'ordre formel qu'il convient d'examiner en premier lieu.</w:t>
      </w:r>
    </w:p>
    <w:p>
      <w:r>
        <w:rPr>
          <w:b/>
        </w:rPr>
        <w:t>E. 2.1</w:t>
      </w:r>
    </w:p>
    <w:p>
      <w:r>
        <w:t>Invoquant l' art. 30 al. 1 Cst. en relation avec l' art. 5 al. 3 Cst , ainsi que l' art. 6 par. 1 CEDH , puis l' art. 29 al. 1 Cst. et des dispositions de la constitution cantonale, il critique en premier lieu la composition de la Chambre constitutionnelle en relevant que la Juge cantonale B.________ ne ferait pas partie des huit magistrats siégeant ordinairement dans cette juridiction. Celle-ci serait autonome et ne serait intégrée à la Cour de justice que pour des raisons économiques, de sorte que les autres magistrats de la Cour de justice ne pourraient siéger. Les explications données au recourant (vacance d'un juge et nécessité de le remplacer par un magistrat du même parti) seraient erronées. Le recourant met en doute les compétences de la Juge B.________, fonctionnant ordinairement dans le domaine des assurances sociales. Il remet également en cause le mode de nomination des juges de la Cour constitutionnelle, choisis parmi les magistrats de la Cour de justice sans élection spécifique.</w:t>
      </w:r>
    </w:p>
    <w:p>
      <w:r>
        <w:rPr>
          <w:b/>
        </w:rPr>
        <w:t>E. 2.2</w:t>
      </w:r>
    </w:p>
    <w:p>
      <w:r>
        <w:t>Selon l' art. 1 let . h de la loi genevoise sur l'organisation judiciaire (LOJ, RS/GE L 2 05), la Chambre constitutionnelle fait partie, avec la Chambre administrative et la Chambre des assurances sociales (ch. 3°), de la Cour de droit public, soit l'une des trois cours de la juridiction cantonale. Selon l'art. 33 al. 1 de la même loi, les magistrats d'une même juridiction se suppléent entre eux. Membre de la Chambre des assurances sociales, la Juge B.________ pouvait ainsi suppléer un juge de la Chambre constitutionnelle, ces deux chambres faisant partie de la même Cour de la juridiction cantonale. Le droit cantonal n'impose pas, en particulier, d'établir une liste des magistrats susceptibles de remplacer un collègue dans la même juridiction. Il n'y a aucun arbitraire dans l'application des dispositions cantonales précitées (le recourant ne le prétend d'ailleurs pas) ni aucune violation du droit à une composition régulière de l'autorité. La possibilité de suppléer un membre d'une autre section de la même juridiction étant admise par la loi, le recourant ne saurait se plaindre de la présence d'un magistrat éventuellement moins spécialisé; au demeurant, le recours cantonal soulevait des questions d'ordre constitutionnel général ne nécessitant aucune spécialisation.</w:t>
      </w:r>
    </w:p>
    <w:p>
      <w:r>
        <w:rPr>
          <w:b/>
        </w:rPr>
        <w:t>E. 2.3</w:t>
      </w:r>
    </w:p>
    <w:p>
      <w:r>
        <w:t>Le recourant critique le mode d'élection (en principe tacite lorsque le nombre de candidats est égal au nombre de sièges à pourvoir) des magistrats à la Cour de justice et estime qu'il ne serait pas possible de postuler directement à la Chambre constitutionnelle. L'élection tacite est admise, pour les magistrats du pouvoir judiciaire, à l' art. 55 al. 5 Cst./GE , et rien n'empêche une personne remplissant les conditions d'éligibilité fixées à l' art. 5 LOG /GE de se présenter et de provoquer, le cas échéant une élection populaire conformément à l' art. 52 al. 1 let . c Cst./GE. Le recourant n'indique pas, pour le surplus, en vertu de quelle disposition il existerait un droit à postuler directement dans une section spécifique du Tribunal cantonal, la répartition des cours étant de la compétence interne de la juridiction concernée (art. 25 al. 1 LOJ/GE).</w:t>
      </w:r>
    </w:p>
    <w:p>
      <w:r>
        <w:rPr>
          <w:b/>
        </w:rPr>
        <w:t>E. 2.4</w:t>
      </w:r>
    </w:p>
    <w:p>
      <w:r>
        <w:t>Se plaignant ensuite tant d'établissement inexact des faits que d'une violation des art. 29 al. 2 Cst. et 6 par. 1 CEDH, le recourant reproche à la cour cantonale d'avoir, le 2 août 2016, fixé un délai aux parties pour formuler des requêtes ou observations complémentaires, après quoi la cause serait gardée à juger. Il en résulterait un parti pris en faveur du Conseil d'Etat et une violation du droit d'être entendu.</w:t>
      </w:r>
    </w:p>
    <w:p>
      <w:r>
        <w:t>Il ressort du dossier que le courrier du 2 août 2016 a bien été adressé aux deux parties, le recourant ayant reçu le même jour une copie de la réponse du Conseil d'Etat. Il a ainsi pu concrètement exercer son droit de réplique dans le délai fixé en produisant des observations. Le Conseil d'Etat a pour sa part fait savoir, le 1er septembre 2016, qu'il n'avait pas d'observations complémentaires à formuler. Cela étant, on ne saurait déduire de la communication du 2 août 2016 (qui indique que l'instruction sera close après réception des éventuelles déterminations) un parti pris de la cour cantonale en faveur du Conseil d'Etat, cette écriture n'ayant pour objectif que de permettre au recourant d'exercer son droit de réplique et d'orienter les parties sur la suite de la procédure.</w:t>
      </w:r>
    </w:p>
    <w:p>
      <w:r>
        <w:rPr>
          <w:b/>
        </w:rPr>
        <w:t>E. 2.5</w:t>
      </w:r>
    </w:p>
    <w:p>
      <w:r>
        <w:t>Contestant enfin la qualité du Conseiller d'Etat en charge du Département cantonal de la sécurité et de l'économie pour représenter le Conseil d'Etat dans la procédure de recours (et également devant le Tribunal fédéral), le recourant se plaint de n'avoir pas pu s'exprimer sur un arrêté du Conseil d'Etat 15 juin 2016 accordant les pouvoirs nécessaires. Il relève que cet arrêté n'était pas accessible au public et ne reposait sur aucune base légale.</w:t>
      </w:r>
    </w:p>
    <w:p>
      <w:r>
        <w:t>Les observations à la cour cantonale ont été présentées par le Conseiller d'Etat agissant "au nom et pour le compte du Conseil d'Etat". Selon les termes de l'art. 2 al. 3 de la loi genevoise sur l'exercice des compétences du Conseil d'Etat et l'organisation de l'administration (LECO, RS/GE B 1 15), "lorsque la loi attribue une compétence au Conseil d'Etat, celui-ci peut la déléguer, par voie réglementaire, à un département, un service ou une autre entité subordonnée, sauf si la loi interdit expressément la sous-délégation de cette compétence. Dans tous les cas, les pouvoirs conférés au Conseil d'Etat par la constitution de la République et canton de Genève, du 14 octobre 2012, sont réservés". L'arrêt attaqué retient que le pouvoir de représentation du Conseiller d'Etat se fonde sur une décision du 15 juin 2016 accessible sur Internet, laquelle prévoit expressément que les Conseillers d'Etat sont habilités à signer individuellement au nom et pour le compte du Conseil d'Etat les écritures judiciaires et à représenter cette autorité devant les différentes juridictions.</w:t>
      </w:r>
    </w:p>
    <w:p>
      <w:r>
        <w:t>Contrairement à ce que semble soutenir le recourant, les règles sur la délégation (et la sous-délégation) législative ne s'appliquent pas lorsqu'il s'agit d'attribuer à un membre du gouvernement un simple pouvoir de représentation dans le cadre d'une procédure judiciaire, et nullement un pouvoir réglementaire. Peu importe le moment auquel le pouvoir a été conféré puisque la décision prise à ce sujet pourrait, le cas échéant, permettre de ratifier après-coup un acte de procédure par hypothèse effectué sans droit. Le recourant n'indique pas, en particulier, en vertu de quelle disposition une telle décision - assimilable à une simple procuration - devrait être publiée pour déployer ses effets. S'agissant enfin d'un acte officiel librement accessible sur internet, il était censé connu des parties et n'appelait pas de droit à une détermination particulière.</w:t>
      </w:r>
    </w:p>
    <w:p>
      <w:r>
        <w:t>Les griefs d'ordre formel doivent dès lors être écartés, dans la mesure où ils sont suffisamment motivés.</w:t>
      </w:r>
    </w:p>
    <w:p>
      <w:r>
        <w:rPr>
          <w:b/>
        </w:rPr>
        <w:t>E. 3</w:t>
      </w:r>
    </w:p>
    <w:p>
      <w:r>
        <w:t>Les responsables des institutions prennent les mesures organisationnelles et techniques appropriées afin de :</w:t>
      </w:r>
    </w:p>
    <w:p>
      <w:r>
        <w:t>a) limiter le visionnement des données, enregistrées ou non, à un cercle restreint de personnes dûment autorisées, dont la liste doit être régulièrement tenue à jour et communiquée au préposé cantonal;</w:t>
      </w:r>
    </w:p>
    <w:p>
      <w:r>
        <w:t>b) garantir la sécurité des installations de surveillance et des données éventuellement enregistrées.</w:t>
      </w:r>
    </w:p>
    <w:p>
      <w:r>
        <w:rPr>
          <w:b/>
        </w:rPr>
        <w:t>E. 3.1</w:t>
      </w:r>
    </w:p>
    <w:p>
      <w:r>
        <w:t>Dans le cadre d'un contrôle abstrait des normes, le Tribunal fédéral examine librement la conformité d'un acte normatif aux droits constitutionnels, à condition que ceux-ci soient invoqués et motivés conformément aux exigences découlant de l' art. 106 al. 2 LTF ;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aux traités en matière de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w:t>
      </w:r>
    </w:p>
    <w:p>
      <w:r>
        <w:rPr>
          <w:b/>
        </w:rPr>
        <w:t>E. 3.2</w:t>
      </w:r>
    </w:p>
    <w:p>
      <w:r>
        <w:t>L'art. 20 ROPol est une disposition d'application de l'art. 61 al. 1 LPol, selon lequel les postes de police et les locaux de la police judiciaire sont équipés de caméras, à l'exception des locaux utilisés exclusivement par le personnel de police. Selon l'alinéa 2 de cette même disposition, les images filmées sont conservées durant 100 jours avant d'être détruites, sauf décision émanant d'une autorité compétente par laquelle ce délai est prolongé. Selon le message du Conseil d'Etat à l'appui de la loi, certains postes et locaux de la police étaient déjà équipés d'installations de vidéosurveillance. Cette pratique devait être étendue à l'ensemble des postes de police et des locaux de la police judiciaire auxquels les justiciables avaient accès. L'objectif était double: il s'agissait d'une part de prévenir la commission d'infractions lors des opérations de police et, d'autre part, de disposer de moyens de preuve en cas de soupçon d'infraction ou lors d'un dépôt de plainte, que celle-ci émane de la police ou des justiciables. Selon les termes du Conseil d'Etat, "l'image permettra tantôt de confondre, tantôt de disculper la personne contre laquelle les soupçons se sont élevés".</w:t>
      </w:r>
    </w:p>
    <w:p>
      <w:r>
        <w:t>Compte tenu du texte de la loi, qui fait uniquement référence à la prise d'image, du message du Conseil d'Etat et des débats (qui font notamment référence à la vidéosurveillance dans les transports publics), il y a lieu de retenir avec la cour cantonale que la loi et le règlement ne prévoient pas un enregistrement sonore mais uniquement la prise d'images. En outre, dans la mesure où elle poursuit le but général de renforcer la sécurité dans les locaux de police et de servir de moyen de preuve en cas de soupçons d'infractions commises dans ces mêmes locaux, la vidéosurveillance ne s'applique nullement au contenu des interrogatoires des suspects ou des prévenus auxquels la police peut procéder en application de l' art. 142 al. 2 CPP . Sur ce point également, l'arrêt cantonal est conforme au texte de la réglementation et le recourant ne démontre aucun arbitraire.</w:t>
      </w:r>
    </w:p>
    <w:p>
      <w:r>
        <w:t>Le recourant prétend qu'un enregistrement sonore pourrait assurer une protection supplémentaire, mais il en résulterait également une atteinte nettement supérieure à la personnalité des personnes surveillées. Le recourant n'indique nullement quel droit ou principe constitutionnel imposerait une telle atteinte; quoi qu'il en soit, il s'agit d'un choix du législateur que le recourant ne saurait remettre en cause par le biais d'un recours dirigé contre le règlement d'application.</w:t>
      </w:r>
    </w:p>
    <w:p>
      <w:r>
        <w:rPr>
          <w:b/>
        </w:rPr>
        <w:t>E. 3.3</w:t>
      </w:r>
    </w:p>
    <w:p>
      <w:r>
        <w:t>Invoquant, outre l'arbitraire, les art. 13 al. 2 Cst. et 8 CEDH, le recourant estime que tout particulier aurait le droit de requérir la sauvegarde des images, indépendamment de l'ouverture d'une procédure pénale. Il conteste les considérations de la cour cantonale à propos de l'application de la LIPAD. Le recourant perd de vue que sa démarche tend uniquement à l'annulation de l'art. 20 ROPol, soit une disposition qui ne dit rien sur la conservation des données; la durée de 100 jours est en effet fixée dans la loi (art. 61 al. 1 LPol) ainsi qu'à l'art. 23 al. 4 du règlement attaqué. En outre, le recourant évoque essentiellement le cas des interrogatoires qui, comme on l'a vu, n'est nullement visé par la réglementation litigieuse.</w:t>
      </w:r>
    </w:p>
    <w:p>
      <w:r>
        <w:t>La LIPAD régit l'information relative aux activités des institutions et la protection des données personnelles (art. 1 al. 1 LIPAD). La loi s'applique notamment aux pouvoirs exécutif, législatif et judiciaire cantonaux ainsi que leur administration (art. 3 al. 1 let. a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Consacré spécifiquement à la vidéosurveillance, l'art. 42 al. 2 à 4 LIPAD a la teneur suivante:</w:t>
      </w:r>
    </w:p>
    <w:p>
      <w:r>
        <w:t>2 L'éventuel enregistrement de données résultant de la surveillance doit être détruit en principe dans un délai de 7 jours. Ce délai peut être porté à 3 mois en cas d'atteinte avérée aux personnes ou aux biens et, en cas d'ouverture d'une information pénale, jusqu'à l'issue de la procédure.</w:t>
      </w:r>
    </w:p>
    <w:p>
      <w:r>
        <w:rPr>
          <w:b/>
        </w:rPr>
        <w:t>E. 3.4</w:t>
      </w:r>
    </w:p>
    <w:p>
      <w:r>
        <w:t>Invoquant le droit d'être entendu ( art. 29 al. 2 Cst. , art. 3 al. 2 let c CPP), les art. 6 et 10 al. 2 Cst. ainsi que l' art. 6 CEDH , le recourant estime que la police pourrait, en décidant de détruire un enregistrement vidéo, décider unilatéralement quelles pièces devraient demeurer au dossier. Comme cela est relevé ci-dessus, la vidéosurveillance n'est pas destinée à l'enregistrement de dépositions, mais uniquement à une surveillance des locaux de la police à des fins dissuasives et répressives. Le délai de conservation de 100 jours tient compte du délai de trois mois pour déposer une plainte pénale lorsqu'une allégation de mauvais traitement est soulevée à l'encontre de la police. En outre, l'art. 20 al. 2 ROPol impose la sauvegarde systématique des données indépendamment d'une plainte pénale lorsqu'un membre du personnel est victime de violence, lors de l'usage de la force par la police, sur requête du Ministère public ou de l'inspection générale des services, lorsqu'une allégation de mauvais traitement parvient à la connaissance de l'autorité compétente ou en cas de rixes ou de violences. Dans ces cas, la sauvegarde est obligatoire et, contrairement à ce que soutient le recourant en invoquant les art. 8 Cst. , et 14 CEDH, les données vidéos sont ainsi susceptibles de servir de moyens de preuve et d'être intégrées au dossier d'une procédure pénale, conformément au droit d'être entendu des parties. Le risque de destruction de preuves compromettantes relève du procès d'intention à l'égard des autorités policières, et non de la constitutionnalité de la disposition litigieuse.</w:t>
      </w:r>
    </w:p>
    <w:p>
      <w:r>
        <w:rPr>
          <w:b/>
        </w:rPr>
        <w:t>E. 4</w:t>
      </w:r>
    </w:p>
    <w:p>
      <w:r>
        <w:t>Sur le vu de ce qui précède, le recours est rejeté dans la mesure où il est recevable. Le recourant a demandé l'assistance judiciaire sous la forme d'une dispense de frais, en relevant qu'il est actuellement à l'Hospice général. Dans son recours, il a demandé une décision préalable sur ce point afin d'éviter à devoir payer des frais en cas de rejet du recours. Il se plaint de ce que la pratique du Tribunal fédéral ne soit pas uniforme sur ce point. Contrairement à ce que soutient le recourant, il n'existe pas de droit à une décision préalable en matière d'assistance judiciaire. Sur le vu des considérants qui précède, il apparaît que le recours ne présentait pas les chances de succès suffisantes pour l'obtention de l'assistance judiciaire. Le recourant doit dès lors payer les frais judiciaires, conformément à la règle de l' art. 66 al. 1 LTF . L'indigence du recourant ayant déjà été constatée (arrêt 1C_130/2015 du 20 janvier 2016 consid. 4), les frais en question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