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1C_608/2012 vom 11. Dezember 2012</w:t>
      </w:r>
    </w:p>
    <w:p>
      <w:r>
        <w:t>Bundesgericht, 2012-12-11, DE</w:t>
      </w:r>
    </w:p>
    <w:p>
      <w:r>
        <w:rPr>
          <w:b/>
        </w:rPr>
        <w:t xml:space="preserve">Quelle: </w:t>
      </w:r>
      <w:r>
        <w:t>https://mcp.opencaselaw.ch/entscheid/bger_1C_608_2012</w:t>
      </w:r>
    </w:p>
    <w:p>
      <w:r>
        <w:t>FR: TF 1C_608/2012 du 11 décembre 2012</w:t>
      </w:r>
    </w:p>
    <w:p>
      <w:r>
        <w:t>IT: TF 1C_608/2012 del 11 dicembre 2012</w:t>
      </w:r>
    </w:p>
    <w:p>
      <w:pPr>
        <w:pStyle w:val="Heading2"/>
      </w:pPr>
      <w:r>
        <w:t>Erwägungen</w:t>
      </w:r>
    </w:p>
    <w:p>
      <w:r>
        <w:rPr>
          <w:b/>
        </w:rPr>
        <w:t>E. 1</w:t>
      </w:r>
    </w:p>
    <w:p>
      <w:r>
        <w:t>Gemäss Art. 103 Abs. 3 und Art. 104 BGG kann der Instruktionsrichter einer Beschwerde die aufschiebende Wirkung beilegen oder vorsorgliche Massnahmen treffen, um den bestehenden Zustand zu erhalten oder bedrohte Interessen einstweilen sicherzustellen. Einem Begehren um Erteilung der aufschiebenden Wirkung ist indes nur ausnahmsweise stattzugeben, nämlich dann, wenn dem Gesuchsteller ohne diese Massnahme ein erheblicher, nicht wieder gutzumachender Nachteil entstehen könnte. Die Notwendigkeit einer solchen Massnahme ist grundsätzlich durch den Gesuchsteller darzulegen.</w:t>
      </w:r>
    </w:p>
    <w:p>
      <w:r>
        <w:rPr>
          <w:b/>
        </w:rPr>
        <w:t>E. 2</w:t>
      </w:r>
    </w:p>
    <w:p>
      <w:r>
        <w:t>Mit den angefochtenen Verfügungen der Bundeskanzlei wird festgehalten, dass die Referenden gegen die drei Staatsverträge nicht zustande gekommen sind. Es handelt sich dabei um negative Feststellungsverfügungen, bei welchen die Gewährung der aufschiebenden Wirkung ausgeschlossen ist. Die aufschiebende Wirkung bezieht sich auf das Dispositiv der angefochtenen Verfügungen. Da diese keine Anordnungen enthalten sondern lediglich das Nicht-Zustandekommen des Referendums festhalten, können gar keine durch die angefochtenen Verfügungen begründeten Rechtswirkungen aufgeschoben werden (vgl. XAVER BAUMBERGER, Aufschiebende Wirkung bundesrechtlicher Rechtsmittel im öffentlichen Recht, 2006, S. 68 ff.).</w:t>
      </w:r>
    </w:p>
    <w:p>
      <w:r>
        <w:rPr>
          <w:b/>
        </w:rPr>
        <w:t>E. 3.1</w:t>
      </w:r>
    </w:p>
    <w:p>
      <w:r>
        <w:t>Der Beschwerdeführer verlangt denn auch tatsächlich nicht die aufschiebende Wirkung, sondern vorsorgliche Massnahmen im Sinne von Art. 104 BGG , um bedrohte Interessen einstweilen sicherzustellen. Er führt aus, bei einer Inkraftsetzung auch nur eines der Staatsverträge vor dem anbegehrten Entscheid des Bundesgerichts würde ein allfälliger Volksentscheid über das Referendum verhindert. Ein allfälliges Unterliegen würde ihm hingegen keinen materiell-rechtlichen Vorteil bringen, und die Inkraftsetzung könnte danach ohne weiteres erfolgen.</w:t>
      </w:r>
    </w:p>
    <w:p>
      <w:r>
        <w:rPr>
          <w:b/>
        </w:rPr>
        <w:t>E. 3.2</w:t>
      </w:r>
    </w:p>
    <w:p>
      <w:r>
        <w:t>Die Bundeskanzlei wendet gegen das Gesuch des Beschwerdeführers ein, die Inkraftsetzung sei laut allen drei Abkommen jeweils nur auf Jahresbeginn möglich (vgl. Abkommen mit Deutschland Art. 43 [BBI 2012 5066], Abkommen mit dem Vereinigten Königreich Art. 43 [BBI 2012 5188], Abkommen mit Österreich Art. 39 Ziff. 1 [BBI 2012 5357]; dazu die beiden Botschaften des Bundesrates, BBI 2012 4992, 5014 und 5328). Die aufschiebende Wirkung würde die Inkraftsetzung aller drei Abkommen auf den 1. Januar 2013 verunmöglichen. Von einer "Inkraftsetzung ohne weiteres" könne schon aus diesem Grund keine Rede sein. Als Folge der Gewährung der aufschiebenden Wirkung befürchtet die Bundeskanzlei, dass die Abkommen nicht notifiziert werden könnten und damit nicht per 1. Januar 2013 in Kraft treten würden. Ein Inkrafttreten auf einen späteren Zeitpunkt sei hingegen nicht möglich, da die im Anhang I zu den Abkommen enthaltenen Formeln zur Vergangenheitsregularisierung (BBI 2012 5067, 5190 und 5359 f.) auf eine Übergangsfrist von zwei Jahren ausgerichtet seien, die mit dem 31. Dezember 2010 beginne und damit am 31. Dezember 2012 ende. Werde das Inkrafttreten der Abkommen verschoben, müssten entweder der Beginn oder die Dauer dieser Frist angepasst werden. Eine Verschiebung des Beginns dieser Frist sei jedoch nicht möglich, da dieser im Abkommen fixiert sei. Eine Verlängerung der Frist würde zunächst eine neue Definition der Formel erfordern. Da aber auch diese Formel Vertragsbestandteil sei, müsste in allen Fällen der Vertrag neu verhandelt werden. Der Stichtag vom 31. Dezember 2010 sei zudem massgebend für den Kreis der erfassten Vermögenswerte, da beispielsweise der Wohnsitz am Stichtag für die Anwendung des Vertrags massgebend sei. Aus den genannten Gründen habe das Parlament die Genehmigung der Abkommen in Anwendung von Art. 85 Abs. 2 des Parlamentsgesetzes (SR 171.10) denn auch im beschleunigten Verfahren behandelt. Paradoxer Weise erhielte der Beschwerdeführer mit der Gewährung der aufschiebenden Wirkung sogar mehr, als bei einem Zustandebringen der Referenden hätte erreicht werden können, nämlich die Verhinderung des lnkrafttretens der Abgeltungssteuerabkommen ohne den Segen des Volkes. Die aufschiebende Wirkung würde somit dazu führen, dass unabhängig vom Zustandekommen des Referendums rechtmässig abgeschlossene und vom Parlament genehmigte Abkommen definitiv scheitern würden. Werde hingegen die aufschiebende Wirkung nicht erteilt, so habe dies zur Folge, dass der Vertrag auf den einzig möglichen Termin per 1. Januar 2013 in Kraft treten könnte. Bei einer späteren Gutheissung der Beschwerde und negativem Abstimmungsergebnis könnte der Vertrag auf den ersten möglichen Termin (d.h. nach zwei Jahren) gekündigt werden.</w:t>
      </w:r>
    </w:p>
    <w:p>
      <w:r>
        <w:rPr>
          <w:b/>
        </w:rPr>
        <w:t>E. 3.3</w:t>
      </w:r>
    </w:p>
    <w:p>
      <w:r>
        <w:t>Bei der Prüfung des Gesuchs des Beschwerdeführers ist vom Inhalt der angefochtenen Verfügungen auszugehen. Diese beziehen sich nicht auf die Notifikation der Bundesbeschlüsse, gegen welche die Referenden gerichtet sind, sondern lediglich auf das Zustandekommen der Referenden. Der Beschwerdegegenstand ist somit auf die Frage des Zustandekommens der Referenden beschränkt. Die Notifikation an den jeweiligen Vertragsstaat, dass die innerstaatlichen gesetzlichen Erfordernisse für das Inkrafttreten der Abkommen erfüllt sind, ist vom vorliegenden Beschwerdeverfahren nicht erfasst. Die Notifikation liegt in der Verantwortung der politischen Behörden (Bundesrat), gegen deren Akte kein Rechtsmittel an das Bundesgericht zur Verfügung steht ( Art. 189 Abs. 4 BV ). Somit ist ein Entscheid über die Notifikation der Zuständigkeit des Bundesgerichts entzogen. Nach Art. 184 Abs. 2 BV ist der Bundsrat zuständig, Staatsverträge zu unterzeichnen und zu ratifizieren (vgl. DANIEL THÜRER/BINH TRUONG/FELIX SCHWENDIMANN, Die Schweizerische Bundesverfassung, St. Galler Kommentar, 2. Aufl. 2008, N. 14 zu Art. 184 BV ). In diese Zuständigkeit des Bundesrats kann nicht mit einer vorsorglichen Massnahme im Sinne von Art. 104 BGG im Rahmen eines Rechtsmittelverfahrens gegen die Verfügung der Bundeskanzlei über das Nicht-Zustandekommen eines Referendums eingegriffen werden. Das Gesuch um aufschiebende Wirkung bzw. vorsorgliche Massnahmen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