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1C_607/2020 vom 20. April 2021</w:t>
      </w:r>
    </w:p>
    <w:p>
      <w:r>
        <w:t>Bundesgericht, 2021-04-20, DE</w:t>
      </w:r>
    </w:p>
    <w:p>
      <w:r>
        <w:rPr>
          <w:b/>
        </w:rPr>
        <w:t xml:space="preserve">Quelle: </w:t>
      </w:r>
      <w:r>
        <w:t>https://mcp.opencaselaw.ch/entscheid/bger_1C_607_2020</w:t>
      </w:r>
    </w:p>
    <w:p>
      <w:r>
        <w:t>FR: TF 1C_607/2020 du 20 avril 2021</w:t>
      </w:r>
    </w:p>
    <w:p>
      <w:r>
        <w:t>IT: TF 1C_607/2020 del 20 aprile 2021</w:t>
      </w:r>
    </w:p>
    <w:p>
      <w:pPr>
        <w:pStyle w:val="Heading2"/>
      </w:pPr>
      <w:r>
        <w:t>Erwägungen</w:t>
      </w:r>
    </w:p>
    <w:p>
      <w:r>
        <w:rPr>
          <w:b/>
        </w:rPr>
        <w:t>E. 1.1</w:t>
      </w:r>
    </w:p>
    <w:p>
      <w:r>
        <w:t>Zur Beschwerde in öffentlich-rechtlichen Angelegenheiten ist nach Art. 89 Abs. 1 berechtigt, wer vor der Vorinstanz am Verfahren teilgenommen hat oder keine Möglichkeit zur Teilnahme erhalten hat, durch den angefochtenen Entscheid oder Erlass besonders berührt ist und ein schutzwürdiges Interesse an dessen Aufhebung oder Änderung hat. In Stimmrechtssachen ( Art. 82 lit. c BGG ) steht das Beschwerderecht ausserdem gemäss Art. 89 Abs. 3 jeder Person zu, die in der betreffenden Angelegenheit stimmberechtigt ist.</w:t>
      </w:r>
    </w:p>
    <w:p>
      <w:r>
        <w:rPr>
          <w:b/>
        </w:rPr>
        <w:t>E. 1.2</w:t>
      </w:r>
    </w:p>
    <w:p>
      <w:r>
        <w:t>Der Beschwerdeführer macht nicht geltend, durch den angefochtenen Beschluss des Landrats besonders berührt zu sein. Dies ist auch nicht ersichtlich. Vielmehr ist er der Auffassung, es handle sich um eine Stimmrechtssache, weshalb ihm als im Kanton Glarus Stimmberechtigtem das Beschwerderecht zustehe.</w:t>
      </w:r>
    </w:p>
    <w:p>
      <w:r>
        <w:rPr>
          <w:b/>
        </w:rPr>
        <w:t>E. 1.3</w:t>
      </w:r>
    </w:p>
    <w:p>
      <w:r>
        <w:t>Art. 82 lit. c BGG schliesst die Gesamtheit der politischen Rechte ein. Der sachliche Anwendungsbereich ist somit bezogen auf die politischen Rechte umfassend. Indessen muss die unmittelbare Ausübung dieser Rechte in Frage stehen. Es genügt nicht, allgemein eine willkürliche Anwendung kantonalen Rechts zu rügen (Urteil 1C_167/2016 vom 8. Dezember 2016 E. 1.2 mit Hinweisen).</w:t>
      </w:r>
    </w:p>
    <w:p>
      <w:r>
        <w:rPr>
          <w:b/>
        </w:rPr>
        <w:t>E. 1.4</w:t>
      </w:r>
    </w:p>
    <w:p>
      <w:r>
        <w:t>Inhaltlich kritisiert der Beschwerdeführer, der Landrat habe sich in seinem Beschluss nicht an die Kriterien gehalten, welche die Landsgemeinde am 6. Mai 2018 an die Kreditvergabe geknüpft habe. Mit anderen Worten macht er geltend, der Landrat habe mit dem Kreditbeschluss seine Kompetenzen überschritten und damit übergeordnetes Recht verletzt. Damit macht er indessen keine Verletzung politischer Rechte im dargelegten Sinn geltend. Mangels eines direkten Bezugs zur Ausübung der politischen Rechte steht dafür die Stimmrechtsbeschwerde nicht zur Verfügung (vgl. BGE 123 I 41 E. 6c S. 47; 117 Ia 66 E. 1d/cc S. 68; Urteil 1P.126/1997 vom 17. Juli 1997 E. 2c, in: RDAT 1998 I Nr. 1 S. 1; je mit Hinweisen).</w:t>
      </w:r>
    </w:p>
    <w:p>
      <w:r>
        <w:rPr>
          <w:b/>
        </w:rPr>
        <w:t>E. 2</w:t>
      </w:r>
    </w:p>
    <w:p>
      <w:r>
        <w:t>Auf die Beschwerde ist deshalb nicht einzutreten.</w:t>
      </w:r>
    </w:p>
    <w:p>
      <w:r>
        <w:t>Bei diesem Ausgang des Verfahrens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