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606/2017 vom 8. Oktober 2018</w:t>
      </w:r>
    </w:p>
    <w:p>
      <w:r>
        <w:t>Bundesgericht, 2018-10-08, FR</w:t>
      </w:r>
    </w:p>
    <w:p>
      <w:r>
        <w:rPr>
          <w:b/>
        </w:rPr>
        <w:t xml:space="preserve">Quelle: </w:t>
      </w:r>
      <w:r>
        <w:t>https://mcp.opencaselaw.ch/entscheid/bger_1C_606_2017</w:t>
      </w:r>
    </w:p>
    <w:p>
      <w:r>
        <w:t>FR: TF 1C 606/2017 du 8 octobre 2018</w:t>
      </w:r>
    </w:p>
    <w:p>
      <w:r>
        <w:t>IT: TF 1C 606/2017 del 8 ottobre 2018</w:t>
      </w:r>
    </w:p>
    <w:p>
      <w:pPr>
        <w:pStyle w:val="Heading2"/>
      </w:pPr>
      <w:r>
        <w:t>Regeste</w:t>
      </w:r>
    </w:p>
    <w:p>
      <w:r>
        <w:t>expropriation matérielle, prescription | Expropriation</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Conformément à l' art. 89 al. 2 let . d LTF, ont la qualité pour recourir les personnes, organisations et autorités auxquelles une loi fédérale accorde un droit de recours. Dans la mesure où l' art. 34 al. 2 let. a LAT réserve expressément le droit de recours du canton contre les décisions portant sur les indemnisations résultant de restrictions au droit de propriété au sens de l' art. 5 LAT , l'Etat de Genève, qui a pris part à la procédure devant l'instance précédente, a la qualité pour agir. La qualité pour recourir de l'Aéroport, établissement de droit public autonome, peut par conséquent demeurer indécise. L'autorité qui a qualité pour recourir peut, dans le cadre de ses compétences, invoquer toute violation d'un droit susceptible d'être alléguée par la voie du recours en matière de droit public, en particulier l'interdiction de l'arbitraire ( ATF 134 II 124 consid. 3 p. 131 ss).</w:t>
      </w:r>
    </w:p>
    <w:p>
      <w:r>
        <w:rPr>
          <w:b/>
        </w:rPr>
        <w:t>E. 1.3</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 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le droit à l'indemnité pour expropriation matérielle est prescrit, la procédure prendrait fin ( ATF 97 II 136 consid. 1 p. 137). Les recourants ont longuement expliqué pourquoi la procédure probatoire pourrait être longue et coûteuse; ils ont exposé que le Tribunal administratif de première instance n'avait pas ouvert l'instruction sur le calcul des éventuelles indemnités d'expropriation et sur la détermination du préjudice. Compte tenu des explications données - que l'intimé ne conteste pas réellement -, on peut admettre que les conditions posées par l' art. 93 al. 1 let. b LTF sont réunies et que le recours est ouvert.</w:t>
      </w:r>
    </w:p>
    <w:p>
      <w:r>
        <w:rPr>
          <w:b/>
        </w:rPr>
        <w:t>E. 1.4</w:t>
      </w:r>
    </w:p>
    <w:p>
      <w:r>
        <w:t>Les autres conditions de recevabilité sont par ailleurs réalisées, si bien qu'il y a lieu d'entrer en matière sur le fond.</w:t>
      </w:r>
    </w:p>
    <w:p>
      <w:r>
        <w:rPr>
          <w:b/>
        </w:rPr>
        <w:t>E. 2</w:t>
      </w:r>
    </w:p>
    <w:p>
      <w:r>
        <w:t>Dans un grief d'ordre formel qu'il convient d'examiner en premier lieu, les recourants se plaignent d'une constatation manifestement inexacte des faits. Ils reprochent à la cour cantonale d'avoir omis de prendre en considération la charge de bruit affectant les parcelles litigieuses au 1er mai 2000. Ils soutiennent que le dossier contiendrait les pièces utiles et les données pour retenir les faits pertinents au 1er mai 2000, respectivement au 1er juin 2001.</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 Le Tribunal fédéral ne connaît de la violation des droits fondamentaux que si ce moyen est invoqué et motivé par le recourant ( art. 106 al. 2 LTF ), c'est-à-dire s'il a été expressément soulevé et exposé de manière claire et détaillée ( ATF 138 V 67 consid. 2.2 p. 69).</w:t>
      </w:r>
    </w:p>
    <w:p>
      <w:r>
        <w:rPr>
          <w:b/>
        </w:rPr>
        <w:t>E. 2.2</w:t>
      </w:r>
    </w:p>
    <w:p>
      <w:r>
        <w:t>En l'espèce, la Cour de justice a retenu que les parcelles n° 1'887, 1'888 et 1'889 étaient "affectées d'une charge sonore comprise entre 64 et 66 dB (A) de jour"; quant à la parcelle n° 1'696, elle était affectée d'une charge sonore d'environ 65 dB (A) de jour. Les recourants affirment qu'au 1er mai 2000 les parcelles en question étaient affectées d'une charge sonore comprise entre 64 et 66 dB (A) durant la journée, de 58-61 dB (A) en première heure de nuit et de 53-55 dB (A) le reste de la nuit. Ils prétendent que ces données ressortent du chapitre 3.3 du cadastre du bruit de l'aéroport de Genève, adopté en mars 2009 par l'Office fédéral de l'aviation civile. S'il est vrai que ce document mentionne que les données de trafic réelles ont été enregistrées durant l'année 2000, il n'y a aucune indication précise se rapportant aux parcelles n° 1'696, 1'887, 1'888 et 1'889. Quoi qu'il en soit, cet élément n'a pas d'incidence sur l'issue du litige dans la mesure où l'intimé ne pouvait en avoir connaissance le 1er mai 2000 puisque ce cadastre du bruit a été publié en mars 2009 seulement. Les recourants se réfèrent ensuite aux courbes isophones établies par le Laboratoire fédéral d'essai des matériaux de recherche (EMPA) en 1996. Aucune pièce n'est toutefois produite pour justifier le prétendu caractère identique de la charge de bruit entre 1996 et 2000. Partant, les recourants, soumis aux exigences accrues de motivation de l' art. 106 al. 2 LTF , ne parviennent pas à démontrer en quoi la Cour de justice, qui a retenu une charge sonore entre 64 et 66 dB (A) de jour, aurait établi les faits de manière manifestement inexacte. Ils n'étaient leur affirmation d'aucune preuve et n'établissent pas que la qualification opérée par l'instance précédente serait en contradiction manifeste avec la situation effective. En réalité, ils se limitent à opposer leur propre appréciation à celle de la cour cantonale et ne démontrent pas en quoi celle-ci serait insoutenable. Par conséquent, le Tribunal fédéral statuera sur la base des seuls faits constatés dans l'arrêt attaqué, sans tenir compte de ceux qui sont allégués par les recourants.</w:t>
      </w:r>
    </w:p>
    <w:p>
      <w:r>
        <w:rPr>
          <w:b/>
        </w:rPr>
        <w:t>E. 3</w:t>
      </w:r>
    </w:p>
    <w:p>
      <w:r>
        <w:t>Sur le fond, le litige ne porte pas sur la durée quinquennale du délai de prescription en vue d'une indemnisation pour expropriation matérielle mais sur le jour à partir duquel ce délai doit être calculé. Les recourants reprochent en effet à la Cour de justice d'avoir retenu que le dies a quo du délai de prescription devait être fixé au 1er juin 2001. Ils prétendent que ce délai devait partir le 1er mai 2000. Ils font grief à l'instance précédente d'avoir interprété arbitrairement l'arrêt du Tribunal fédéral 1C_460/2014 du 15 juin 2015 ainsi que l' ATF 126 II 522 .</w:t>
      </w:r>
    </w:p>
    <w:p>
      <w:r>
        <w:rPr>
          <w:b/>
        </w:rPr>
        <w:t>E. 3.1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3.2</w:t>
      </w:r>
    </w:p>
    <w:p>
      <w:r>
        <w:t>En matière d'expropriation matérielle, le point de départ de la prescription est la date de l'entrée en vigueur de la restriction définitive au droit de propriété ( ATF 130 II 394 consid. 11 p. 413; 124 II 543 consid. 4 p. 549). En d'autres termes, le dies a quo du délai de prescription correspond à la source de l'inconstructibilité de la parcelle, soit à l'entrée en vigueur du plan ou de la norme qui cause la restriction du droit de bâtir (arrêt 1C_460/2014 du 15 juin 2015 consid. 2.2, in SJ 2016 I 149).</w:t>
      </w:r>
    </w:p>
    <w:p>
      <w:r>
        <w:rPr>
          <w:b/>
        </w:rPr>
        <w:t>E. 3.3</w:t>
      </w:r>
    </w:p>
    <w:p>
      <w:r>
        <w:t>En l'espèce, la Cour de justice a retenu que le point de départ du délai de prescription était le 1er juin 2001, date de l'entrée en vigueur de la deuxième version de l'annexe 5 de l'ordonnance sur la protection contre le bruit du 15 décembre 1986 (OPB; RS 814.41), intitulée "valeurs limites d'exposition au bruit des aérodromes civils". Elle a rappelé que l'ordonnance sur la navigation aérienne du 14 novembre 1973 dans sa teneur à l'époque et l'ordonnance concernant les zones de bruit de l'aéroport de Bâle-Mulhouse, Genève-Cointrin et Zurich prévoyaient que les terrains sis en zone de bruit NNI A et B ne pouvaient pas accueillir de bâtiments d'habitation. Elle a toutefois exposé qu'après un arrêt du Tribunal fédéral du 12 juillet 1995, les restrictions à la constructibilité liée à ces zones de bruit avaient perdu toute portée s'agissant de parcelles situées près de l'aéroport de Genève ( ATF 121 II 317 ). Elle a ensuite considéré que, bien qu'en vigueur depuis le 1er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Elle a encore jugé que le caractère définitif de l'éventuelle restriction de bâtir que contenait la première version de l'annexe 5 de l'OPB ne pouvait être retenu, dans la mesure où elle était devenue inapplicable en décembre 2000 à la suite de l' ATF 126 II 522 . Elle a ajouté que le flou juridique qui avait suivi l' ATF 126 II 522 jusqu'à l'entrée en vigueur de la deuxième version de l'OPB, avec le renvoi fait par le Tribunal fédéral à des valeurs limites contenues dans un rapport partiel d'une Commission fédérale, ne présentait pas non plus ce caractère définitif, condition qui permettait d'envisager une atteinte à la garantie de la propriété susceptible de fonder une indemnité pour expropriation matérielle. Elle a enfin estimé que la pratique qu'auraient adoptée les autorités genevoises chargées de la délivrance des autorisations de construire dans la période avant et après l'entrée en vigueur de la première version de l'annexe 5 de l'OPB n'était pas déterminante, la restriction à la constructibilité des parcelles susceptibles de fonder une expropriation matérielle devant découler d'un plan ou d'une norme et non de la pratique administrative. Les recourants ne partagent pas cette analyse. Ils soutiennent que la date à retenir pour faire partir le délai de prescription est le 1er mai 2000, soit la date de l'entrée en vigueur de la première version de l'annexe 5 de l'OPB. Ils affirment que cette première version a immédiatement sorti ses effets juridiques, restreignant de manière définitive le droit de propriété de l'intimé, puisque les parcelles étaient exposées, en première heure de la nuit, à une charge de bruit dépassant les valeurs limites d'immission fixées par ce premier texte. Ils se réfèrent à l'arrêt du Tribunal fédéral 1C_460/2014 du 15 juin 2015 précité, duquel il ressort que le point de départ de la prescription devait être fixé "au plus tard au 1er juin 2001", laissant la possibilité à la fixation d'une date antérieure.</w:t>
      </w:r>
    </w:p>
    <w:p>
      <w:r>
        <w:rPr>
          <w:b/>
        </w:rPr>
        <w:t>E. 3.4</w:t>
      </w:r>
    </w:p>
    <w:p>
      <w:r>
        <w:t>En l'occurrence, les terrains de l'intimé étaient classés en zone de bruit NNI B par le plan des zones de bruit du 2 septembre 1987. Les terrains situés en zone de bruit NNI B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liées à ces zones de bruit ont perdu toute portée s'agissant des parcelles situées près de l'aéroport de Genève, après un arrêt du Tribunal fédéral du 12 juillet 1995, dans lequel il a été retenu que les zones de bruit A et B étaient surdimensionnées et qu'une grande partie des parcelles auraient dû être en réalité affectées à la zone C, voire soustraites à toute restriction fondée sur la législation fédérale sur l'aviation ( ATF 121 II 317 consid. 12 p. 343 ss). A cette date, l'inconstructibilité des parcelles litigieuses n'était donc pas définitive. L'art. 42 précité de l'ordonnance sur l'infrastructure aéronautique a été abrogé le 1er mai 2000 lors de la modification du 12 avril 2000 de l'ordonnance sur la protection contre le bruit et l'adoption de la première version de l'annexe 5 de l'OPB (RO 2000 1388); cette première version fixait la valeur limite d'immission de jour, pour le degré de sensibilité II, à 65 dB (A) et à 57 dB (A) de nuit; elle prévoyait cependant un facteur de correction K = - 2 de jour pour le bruit provenant de l'aviation commerciale (chiffre 4 de la première version de l'annexe 5 de l'OPB), ce qui fixait la VLI à 67 dB (A) de jour. A cette date, les parcelles litigieuses, affectées d'une charge sonore de 64 à 66 dB (A) de jour, étaient donc encore constructibles. Dans un arrêt du 8 décembre 2000, le Tribunal fédéral a toutefois constaté que cette annexe 5 de l'ordonnance sur la protection contre le bruit (OPB) violait l' art. 74 Cst. et les art. 13 al. 2 et 15 LPE , les valeurs limites d'exposition au bruit des aéroports nationaux retenues ne garantissant pas une protection suffisante par rapport aux objectifs de la LPE; les valeurs limites d'immission des aéroports nationaux que la Commission fédérale pour l'évaluation des valeurs limites d'immission pour le bruit avait prévues dans son 6ème rapport partiel de septembre 1997 demeuraient applicables ( ATF 126 II 522 consid. 44 à 46). En conséquence, le Conseil fédéral a adopté, le 30 mai 2001, la version actuelle de l'annexe 5 de l'OPB, entrée en vigueur le 1er juin 2001 et fixant la valeur limite d'immission de jour à 60 dB (A) pour le degré de sensibilité II (RO 2001 1610). Selon la jurisprudence, le dies a quo du délai de prescription correspond à la source de l'inconstructibilité de la parcelle, soit à la date de l'entrée en vigueur du plan ou de la norme qui cause la restriction du droit de bâtir (supra consid. 3.2). Par conséquent, c'est dès le 1er juin 2001, date de l'entrée en vigueur de la deuxième version de l'annexe 5 de l'OPB, que l'inconstructibilité des parcelles, affectées d'une charge sonore de 64 à 66 dB (A) de jour, ressort d'une norme. A partir de cette date, l'interdiction de construire des logements sur les parcelles en cause déployait un effet concret et opposable aux propriétaires. L'intimé disposait alors de tous les éléments lui permettant d'agir en justice pour réclamer l'indemnisation du préjudice qu'il estimait subir. L'arrêt attaqué peut dès lors être confirmé, en ce sens que le point de départ de la prescription doit être fixé, pour les parcelles affectées d'une charge sonore de 64 à 66 dB (A) de jour, au 1er juin 2001. Si les parcelles avaient été exposées dès le 1er mai 2000 à une charge de bruit dépassant les VLI fixées par la première version de l'annexe 5 OPB, elles seraient devenues inconstructibles à cette date et le seraient restées ultérieurement, les valeurs limites d'immission ayant été corrigées à la baisse. Tel n'est cependant pas le cas des parcelles n° 1'696, 1'887, 1'888 et 1'889.</w:t>
      </w:r>
    </w:p>
    <w:p>
      <w:r>
        <w:rPr>
          <w:b/>
        </w:rPr>
        <w:t>E. 3.5</w:t>
      </w:r>
    </w:p>
    <w:p>
      <w:r>
        <w:t>Pour le reste, les recourants ne peuvent rien déduire de l'arrêt 1C_460/2014 précité dans lequel le Tribunal fédéral n'avait pas eu à déterminer si c'était la date du 1er mai 2000 ou celle du 1er juin 2001 qui représentait le point de départ de la prescription, dans la mesure où la prescription était largement acquise dans les deux hypothèses. De même, quoi qu'en disent les recourants, il n'y a rien d'arbitraire à considérer que le dies a quo d'un délai de prescription pour une indemnisation à la suite d'une expropriation matérielle dans le canton de Genève doit résulter d'une norme ou d'un plan, et non de la date à laquelle a été rendu l' ATF 126 II 522 . Cela est d'autant plus vrai que dans l'arrêt en question le Tribunal fédéral avait imposé au canton de Zurich (et non à un particulier dans le canton de Genève) de respecter les valeurs d'exposition au bruit mentionnées par une Commission fédérale, dans le cadre d'un recours dirigé contre l'octroi d'une concession relative à la construction d'un nouveau bâtiment pour l'agrandissement de l'aéroport de Zurich.</w:t>
      </w:r>
    </w:p>
    <w:p>
      <w:r>
        <w:rPr>
          <w:b/>
        </w:rPr>
        <w:t>E. 4</w:t>
      </w:r>
    </w:p>
    <w:p>
      <w:r>
        <w:t>Les recourants se plaignent encore d'une violation du principe de l'égalité de traitement. Ils reprochent à la Cour de justice de ne pas avoir opéré de distinction entre ce cas et celui d'un propriétaire d'une parcelle dont la charge sonore au 1er mai 2000 était inférieure aux VLI prévues par la première version de l'annexe 5 de l'OPB. Ce grief peut être d'emblée rejeté, puisque les recourants ne sont pas parvenus à démontrer que la charge sonore des parcelles en cause ne respectait pas les VLI prévues par la première version de l'annexe 5 de l'OPB (voir supra consid. 2).</w:t>
      </w:r>
    </w:p>
    <w:p>
      <w:r>
        <w:rPr>
          <w:b/>
        </w:rPr>
        <w:t>E. 5</w:t>
      </w:r>
    </w:p>
    <w:p>
      <w:r>
        <w:t>Enfin, les recourants ne contestent pas que le délai de prescription a été valablement interrompu par la requête de l'intimé du 30 mai 2006 et qu'un nouveau délai de 5 ans a commencé à courir à cette date. L'arrêt attaqué doit ainsi être confirmé en ce qu'il retient que le droit à l'indemnité n'est pas prescrit.</w:t>
      </w:r>
    </w:p>
    <w:p>
      <w:r>
        <w:rPr>
          <w:b/>
        </w:rPr>
        <w:t>E. 6</w:t>
      </w:r>
    </w:p>
    <w:p>
      <w:r>
        <w:t>Il s'ensuit que le recours est rejeté. En tant qu'ils succombent et qu'ils défendent un intérêt patrimonial, l'Etat de Genève et l'Aéroport sont tenus de supporter les frais judiciaires ( art. 66 al. 1 et 4 LTF ). Ils verseront en outre une indemnité de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