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1C_605/2022 vom 8. Dezember 2022</w:t>
      </w:r>
    </w:p>
    <w:p>
      <w:r>
        <w:t>Bundesgericht, 2022-12-08, DE</w:t>
      </w:r>
    </w:p>
    <w:p>
      <w:r>
        <w:rPr>
          <w:b/>
        </w:rPr>
        <w:t xml:space="preserve">Quelle: </w:t>
      </w:r>
      <w:r>
        <w:t>https://mcp.opencaselaw.ch/entscheid/bger_1C_605_2022</w:t>
      </w:r>
    </w:p>
    <w:p>
      <w:r>
        <w:t>FR: TF 1C_605/2022 du 8 décembre 2022</w:t>
      </w:r>
    </w:p>
    <w:p>
      <w:r>
        <w:t>IT: TF 1C_605/2022 del 8 dicembre 2022</w:t>
      </w:r>
    </w:p>
    <w:p>
      <w:pPr>
        <w:pStyle w:val="Heading2"/>
      </w:pPr>
      <w:r>
        <w:t>Erwägungen</w:t>
      </w:r>
    </w:p>
    <w:p>
      <w:r>
        <w:rPr>
          <w:b/>
        </w:rPr>
        <w:t>E. 1</w:t>
      </w:r>
    </w:p>
    <w:p>
      <w:r>
        <w:t>Das Strassenverkehrsamt des Kantons Luzern ordnete mit Verfügung vom 24. August 2022 den Sicherungsentzug des Führerausweises von A.________ an und machte die Prüfung einer Wiedererteilung von verschiedenen Bedingungen abhängig. Es stützte seinen Entscheid auf das Gutachten des Instituts für Rechtsmedizin der Universität Zürich vom 4. August 2022, welches die Fahreignung von A.________ negativ beurteilte. A.________ erhob dagegen am 29. August 2022 Verwaltungsgerichtsbeschwerde, welche das Kantonsgericht Luzern mit Urteil vom 11. November 2022 abwies.</w:t>
      </w:r>
    </w:p>
    <w:p>
      <w:r>
        <w:rPr>
          <w:b/>
        </w:rPr>
        <w:t>E. 2</w:t>
      </w:r>
    </w:p>
    <w:p>
      <w:r>
        <w:t>Dagegen reichte A.________ am 19. November 2022 beim Kantonsgericht Luzern einen "Einspruch" ein. Das Kantonsgericht überwies die Eingabe mit Schreiben vom 22. November 2022 zuständigkeitshalber dem Bundesgericht, welches auf die Einholung von Vernehmlassungen verzichtete.</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der Begründung des Kantonsgerichts, die zur Abweisung seiner Beschwerde führte, nicht auseinander. Er vermag nicht im Einzelnen und konkret aufzuzeigen, inwiefern die Begründung des Kantonsgerichts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