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604/2017 vom 8. Oktober 2018</w:t>
      </w:r>
    </w:p>
    <w:p>
      <w:r>
        <w:t>Bundesgericht, 2018-10-08, FR</w:t>
      </w:r>
    </w:p>
    <w:p>
      <w:r>
        <w:rPr>
          <w:b/>
        </w:rPr>
        <w:t xml:space="preserve">Quelle: </w:t>
      </w:r>
      <w:r>
        <w:t>https://mcp.opencaselaw.ch/entscheid/bger_1C_604_2017</w:t>
      </w:r>
    </w:p>
    <w:p>
      <w:r>
        <w:t>FR: TF 1C 604/2017 du 8 octobre 2018</w:t>
      </w:r>
    </w:p>
    <w:p>
      <w:r>
        <w:t>IT: TF 1C 604/2017 del 8 ottobre 2018</w:t>
      </w:r>
    </w:p>
    <w:p>
      <w:pPr>
        <w:pStyle w:val="Heading2"/>
      </w:pPr>
      <w:r>
        <w:t>Regeste</w:t>
      </w:r>
    </w:p>
    <w:p>
      <w:r>
        <w:t>expropriation matérielle, prescription | Expropriation</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 La qualité pour recourir de l'Aéroport, établissement de droit public autonome, peut par conséquent demeurer indécise. 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 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l'intimée ne conteste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la parcelle litigieuse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la parcelle était "affectée d'une charge sonore comprise entre 64 et 65 dB (A) de jour". Les recourants affirment qu'au 1er mai 2000 la parcelle en question était affectée d'une charge sonore de 64 dB (A) durant la journée, de 58-59 dB (A) en première heure de nuit et de 51-52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à la parcelle n° 1'034. Quoi qu'il en soit, cet élément n'a pas d'incidence sur l'issue du litige dans la mesure où l'intimée ne pouvait en avoir connaissance le 1er mai 2000 puisque ce cadastre du bruit a été publié en mars 2009 seulement. Les recourants se réfèrent ensuite aux courbes isophones établies par le Laboratoire fédéral d'essai des matériaux de recherche (EMPA) en 1996. Aucune pièce n'est toutefois produite pour justifier le prétendu caractère identique de la charge de bruit entre 1996 et 2000. Partant, les recourants, soumis aux exigences accrues de motivation de l' art. 106 al. 2 LTF , ne parviennent pas à démontrer en quoi la Cour de justice, qui a retenu une charge sonore entre 64 et 65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 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 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 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qu'après un arrêt du Tribunal fédéral du 12 juillet 1995, les restrictions à la constructibilité liées à ces zones de bruit avaient perdu toute portée s'agissant de parcelles situées près de l'aéroport de Genève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 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 l'intimée, puisque la parcelle était exposée,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 terrain de l'intimée était classé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 la parcelle litigieuse n'était donc pas définitive. 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et à 57 dB (A) de nuit; elle prévoyait cependant un facteur de correction K = - 2 de jour pour le bruit provenant de l'aviation commerciale (chiffre 4 de la première version de l'annexe 5 de l'OPB), ce qui fixait la VLI à 67 dB (A) de jour. A cette date, la parcelle litigieuse, affectée d'une charge sonore de 64 à 65 dB (A) de jour, était donc encore constructible. 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 Selon la jurisprudence, le dies a quo du délai de prescription correspond à la source de l'inconstructibilité de la parcelle, soit à la date de l'entrée en vigueur du plan ou de la norme qui cause la restriction du droit de bâtir (supra consid. 3.2). Par conséquent, c'est dès le 1er juin 2001, date de l'entrée en vigueur de la deuxième version de l'annexe 5 de l'OPB, que l'inconstructibilité de la parcelle, affectée d'une charge sonore de 64 à 65 dB (A) de jour, ressort d'une norme. A partir de cette date, l'interdiction de construire des logements sur la parcelle en cause déployait un effet concret et opposable à la propriétaire. L'intimée disposait alors de tous les éléments lui permettant d'agir en justice pour réclamer l'indemnisation du préjudice qu'elle estimait subir. L'arrêt attaqué peut dès lors être confirmé, en ce sens que le point de départ de la prescription doit être fixé, pour les parcelles affectées d'une charge sonore de 64 à 65 dB (A) de jour, au 1er juin 2001. Si la parcelle avait été exposée dès le 1er mai 2000 à une charge de bruit dépassant les VLI fixées par la première version de l'annexe 5 OPB, elle serait devenue inconstructible à cette date et le serait restée ultérieurement, les valeurs limites d'immission ayant été corrigées à la baisse. Tel n'est cependant pas le cas de la parcelle n° 1'034.</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 De même, quoi qu'en disent les recourants, il n'y a rien d'arbitraire à considérer que le 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 Ce grief peut être d'emblée rejeté, puisque les recourants ne sont pas parvenus à démontrer que la charge sonore de la parcelle en cause ne respectait pas les VLI prévues par la première version de l'annexe 5 de l'OPB (voir supra consid. 2).</w:t>
      </w:r>
    </w:p>
    <w:p>
      <w:r>
        <w:rPr>
          <w:b/>
        </w:rPr>
        <w:t>E. 5</w:t>
      </w:r>
    </w:p>
    <w:p>
      <w:r>
        <w:t>Enfin, les recourants ne contestent pas que le délai de prescription a été valablement interrompu par la requête de l'intimée du 30 mai 2006 et qu'un nouveau délai de 5 ans a commencé à courir à cette date. L'arrêt attaqué doit ainsi être confirmé en ce qu'il retient que le droit à l'indemnité n'est pas prescrit.</w:t>
      </w:r>
    </w:p>
    <w:p>
      <w:r>
        <w:rPr>
          <w:b/>
        </w:rPr>
        <w:t>E. 6</w:t>
      </w:r>
    </w:p>
    <w:p>
      <w:r>
        <w:t>Il s'ensuit que le recours est rejeté. En tant qu'ils succombent et qu'ils défendent un intérêt patrimonial, l'Etat de Genève et l'Aéroport sont tenus de supporter les frais judiciaires ( art. 66 al. 1 et 4 LTF ). Ils verseront en outre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