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1C_603/2019 vom 21. November 2019</w:t>
      </w:r>
    </w:p>
    <w:p>
      <w:r>
        <w:t>Bundesgericht, 2019-11-21, IT</w:t>
      </w:r>
    </w:p>
    <w:p>
      <w:r>
        <w:rPr>
          <w:b/>
        </w:rPr>
        <w:t xml:space="preserve">Quelle: </w:t>
      </w:r>
      <w:r>
        <w:t>https://mcp.opencaselaw.ch/entscheid/bger_1C_603_2019</w:t>
      </w:r>
    </w:p>
    <w:p>
      <w:r>
        <w:t>FR: TF 1C_603/2019 du 21 novembre 2019</w:t>
      </w:r>
    </w:p>
    <w:p>
      <w:r>
        <w:t>IT: TF 1C_603/2019 del 21 novembre 2019</w:t>
      </w:r>
    </w:p>
    <w:p>
      <w:pPr>
        <w:pStyle w:val="Heading2"/>
      </w:pPr>
      <w:r>
        <w:t>Erwägungen</w:t>
      </w:r>
    </w:p>
    <w:p>
      <w:r>
        <w:rPr>
          <w:b/>
        </w:rPr>
        <w:t>E. 1.1</w:t>
      </w:r>
    </w:p>
    <w:p>
      <w:r>
        <w:t>Il Tribunale federale vaglia d'ufficio se e in che misura un ricorso può essere esaminato nel merito ( DTF 145 II 168 consid. 1).</w:t>
      </w:r>
    </w:p>
    <w:p>
      <w:r>
        <w:rPr>
          <w:b/>
        </w:rPr>
        <w:t>E. 1.2</w:t>
      </w:r>
    </w:p>
    <w:p>
      <w:r>
        <w:t>La tempestività del ricorso ( art. 100 cpv. 1 LTF ) e la legittimazione del ricorrente sono pacifiche.</w:t>
      </w:r>
    </w:p>
    <w:p>
      <w:r>
        <w:rPr>
          <w:b/>
        </w:rPr>
        <w:t>E. 2.1</w:t>
      </w:r>
    </w:p>
    <w:p>
      <w:r>
        <w:t>Quando l'autorità precedente non esamina un ricorso nel merito, nella fattispecie a causa del mancato versamento tempestivo dell'anticipo, l'oggetto del litigio può essere unicamente la questione dell'irricevibilità del gravame poiché, in caso di accoglimento del ricorso, il Tribunale federale le rinvierebbe la causa per l'esame di merito ( DTF 144 II 184 consid. 1.1 pag. 187).</w:t>
      </w:r>
    </w:p>
    <w:p>
      <w:r>
        <w:rPr>
          <w:b/>
        </w:rPr>
        <w:t>E. 2.2</w:t>
      </w:r>
    </w:p>
    <w:p>
      <w:r>
        <w:t>In concreto, trattandosi dell'applicazione dell'art. 47 della legge ticinese sulla procedura amministrativa del 24 settembre 2013, l' art. 106 cpv. 2 LTF impone alla parte ricorrente di specificare, oltre alle esigenze di motivazione di cui all' art. 42 LTF , quali diritti di carattere costituzionale sarebbero stati violati e di esporre le sue censure in modo chiaro, circostanziato ed esaustivo ( DTF 143 I 377 consid. 1.2 e 1.3; 143 II 283 consid. 1.2.2), dimostrando perché la norma in discussione sarebbe stata applicata in maniera addirittura insostenibile e quindi arbitraria ( DTF 145 I 108 consid. 4.4.1; 144 I 113 consid. 7.1 pag. 124).</w:t>
      </w:r>
    </w:p>
    <w:p>
      <w:r>
        <w:rPr>
          <w:b/>
        </w:rPr>
        <w:t>E. 2.3</w:t>
      </w:r>
    </w:p>
    <w:p>
      <w:r>
        <w:t>Al riguardo, il ricorrente si limita a rilevare che, per motivi che non dipenderebbero dalla sua volontà, il versamento litigioso, da lui asseritamente autorizzato il 16 ottobre 2019, non è stato effettuato dalla società immobiliare che lo rappresenta. In effetti, da un messaggio di posta elettronica prodotto dal ricorrente risulterebbe che quest'ultima ammetterebbe che a causa di un non meglio precisato disguido il pagamento non è stato eseguito. Con questo accenno, che disattende le citate esigenze di motivazione ( art. 42 e 106 LTF ), il ricorrente non dimostra in alcun modo perché la conclusione del giudice delegato, accertante la tardività del versamento litigioso, sarebbe arbitraria.</w:t>
      </w:r>
    </w:p>
    <w:p>
      <w:r>
        <w:t>Del resto, il fatto che detta tardività possa essere eventualmente imputabile alla società che rappresenta il ricorrente o alla banca non sarebbe in ogni caso rilevante. In effetti, per quanto concerne il pagamento dell'anticipo delle spese, la rappresentante è considerata, per prassi costante, come l'ausiliaria della parte ricorrente ( art. 101 CO ), che risponde pertanto dei suoi atti come se fossero i propri ( DTF 114 Ib 67 consid. 2 e 3; sentenza 2C_659/2019 del 3 settembre 2019 consid. 2.3 e rinvii).</w:t>
      </w:r>
    </w:p>
    <w:p>
      <w:r>
        <w:t>Giova infine rilevare che dinanzi a questa Corte il ricorrente non fa nemmeno valere elementi che permetterebbero di trattare il suo gravame alla stregua di un'istanza di restituzione in intero dei termini, da trasmettere alla Corte cantonale per competenza.</w:t>
      </w:r>
    </w:p>
    <w:p>
      <w:r>
        <w:rPr>
          <w:b/>
        </w:rPr>
        <w:t>E. 3</w:t>
      </w:r>
    </w:p>
    <w:p>
      <w:r>
        <w:t>Comunicazione al ricorrente e al Tribunale amministrativo del Cantone Ticino.</w:t>
      </w:r>
    </w:p>
    <w:p>
      <w:r>
        <w:t>Losanna, 21 novembre 2019</w:t>
      </w:r>
    </w:p>
    <w:p>
      <w:r>
        <w:t>In nome della I Corte di diritto pubblico</w:t>
      </w:r>
    </w:p>
    <w:p>
      <w:r>
        <w:t>del Tribunale federale svizzero</w:t>
      </w:r>
    </w:p>
    <w:p>
      <w:r>
        <w:t>Il Giudice unico: Muschietti</w:t>
      </w:r>
    </w:p>
    <w:p>
      <w:r>
        <w:t>Il Cancelliere: Crameri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