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603/2016 vom 10. Februar 2017</w:t>
      </w:r>
    </w:p>
    <w:p>
      <w:r>
        <w:t>Bundesgericht, 2017-02-10, DE</w:t>
      </w:r>
    </w:p>
    <w:p>
      <w:r>
        <w:rPr>
          <w:b/>
        </w:rPr>
        <w:t xml:space="preserve">Quelle: </w:t>
      </w:r>
      <w:r>
        <w:t>https://mcp.opencaselaw.ch/entscheid/bger_1C_603_2016</w:t>
      </w:r>
    </w:p>
    <w:p>
      <w:r>
        <w:t>FR: TF 1C 603/2016 du 10 février 2017</w:t>
      </w:r>
    </w:p>
    <w:p>
      <w:r>
        <w:t>IT: TF 1C 603/2016 del 10 febbraio 2017</w:t>
      </w:r>
    </w:p>
    <w:p>
      <w:pPr>
        <w:pStyle w:val="Heading2"/>
      </w:pPr>
      <w:r>
        <w:t>Regeste</w:t>
      </w:r>
    </w:p>
    <w:p>
      <w:r>
        <w:t>Internationale Rechtshilfe in Strafsachen an die Ukraine; Beschlagnahme von Vermögenswerten | Rechtshilfe und Auslieferung</w:t>
      </w:r>
    </w:p>
    <w:p>
      <w:pPr>
        <w:pStyle w:val="Heading2"/>
      </w:pPr>
      <w:r>
        <w:t>Erwägungen</w:t>
      </w:r>
    </w:p>
    <w:p>
      <w:r>
        <w:rPr>
          <w:b/>
        </w:rPr>
        <w:t>E. 1.1</w:t>
      </w:r>
    </w:p>
    <w:p>
      <w:r>
        <w:t>Gemäss Art. 93 Abs. 2 BGG sind auf dem Gebiet der internationalen Rechtshilfe in Strafsachen Vor- und Zwischenentscheide nicht anfechtbar. Vorbehalten bleiben Beschwerden gegen Entscheide unter anderem über die Beschlagnahme von Vermögenswerten, sofern die Voraussetzungen von Absatz 1 erfüllt sind. Gemäss Art. 93 Abs. 1 lit. a BGG ist die Beschwerde gegen einen Zwischenentscheid zulässig, wenn er einen nicht wieder gutzumachenden Nachteil bewirken kann.</w:t>
      </w:r>
    </w:p>
    <w:p>
      <w:r>
        <w:rPr>
          <w:b/>
        </w:rPr>
        <w:t>E. 1.2</w:t>
      </w:r>
    </w:p>
    <w:p>
      <w:r>
        <w:t>Die Beschwerdeführerin kritisiert, das Bundesstrafgericht habe die Verfügung der Bundesanwaltschaft vom 1. November 2016 zu Unrecht als Zwischenverfügung qualifiziert. Dies treffe offensichtlich nicht zu, denn die Schlussverfügung sei bereits am 19. Oktober 2016 ergangen. Gemäss Art. 80d IRSG kann die ausführende Behörde Teilschlussverfügungen erlassen. Bei der Schlussverfügung vom 19. Oktober 2016 handelt es sich um eine derartige Teilschlussverfügung, auch wenn sie nicht ausdrücklich als solche bezeichnet wird. Dies ergibt sich daraus, dass damit nur ein Teil der im Rechtshilfeersuchen vom 29. Februar 2016 und im Ergänzungsersuchen vom 28. April 2016 gestellten Anträge erledigt wird, wozu insbesondere die im Ergänzungsersuchen verlangte Beschlagnahme nicht gehört. Vor diesem Hintergrund stellt die Verfügung der Bundesanwaltschaft vom 1. November 2016 eine Zwischenverfügung und der angefochtene Entscheid des Bundesstrafgerichts vom 7. Dezember 2016einen Zwischenentscheid i.S.v. Art. 93 Abs. 2 BGG dar. Die Beschwerdeführerin legt in ihrer Beschwerdeschrift jedoch nicht dar, inwiefern ihr durch den angefochtenen Entscheid ein nicht wieder gutzumachender Nachteil droht.</w:t>
      </w:r>
    </w:p>
    <w:p>
      <w:r>
        <w:rPr>
          <w:b/>
        </w:rPr>
        <w:t>E. 2</w:t>
      </w:r>
    </w:p>
    <w:p>
      <w:r>
        <w:t>Auf die Beschwerde ist deshalb nicht einzutreten. Da sich die Beschwerde als aussichtslos erwiesen hat, ist das Gesuch um unentgeltliche Prozessführung abzuweisen ( Art. 64 Abs. 1 BGG ). Die Gerichtskosten des bundesgerichtlichen Verfahrens sind der Beschwerdeführerin aufzuerlegen ( Art. 66 Abs. 1 BGG ). Sie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