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1C_603/2012 vom 19. September 2013</w:t>
      </w:r>
    </w:p>
    <w:p>
      <w:r>
        <w:t>Bundesgericht, 2013-09-19, FR</w:t>
      </w:r>
    </w:p>
    <w:p>
      <w:r>
        <w:rPr>
          <w:b/>
        </w:rPr>
        <w:t xml:space="preserve">Quelle: </w:t>
      </w:r>
      <w:r>
        <w:t>https://mcp.opencaselaw.ch/entscheid/bger_1C_603_2012</w:t>
      </w:r>
    </w:p>
    <w:p>
      <w:r>
        <w:t>FR: TF 1C_603/2012 du 19 septembre 2013</w:t>
      </w:r>
    </w:p>
    <w:p>
      <w:r>
        <w:t>IT: TF 1C_603/2012 del 19 settembre 2013</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La recourante a pris part à la procédure de recours devant l'autorité cantonale, elle est particulièrement touchée par l'arrêt attaqué qui confirme la décision d'exécution par substitution de la démolition d'une dépendance qu'elle a fait construire sur son terrain. Elle a donc la qualité pour agir au sens de l' art. 89 al. 1 LTF . Les autres conditions de recevabilité du recours en matière de droit public étant remplies, il convient d'entrer en matière.</w:t>
      </w:r>
    </w:p>
    <w:p>
      <w:r>
        <w:rPr>
          <w:b/>
        </w:rPr>
        <w:t>E. 2</w:t>
      </w:r>
    </w:p>
    <w:p>
      <w:r>
        <w:t>Dans un grief de nature appellatoire, la recourante soutient qu'elle aurait été victime de violations répétées de son droit d'être entendue au cours de la procédure devant l'autorité municipale, ce qui entraînerait l'annulabilité de toute la procédure. A l'appui de ce moyen, elle se contente de mettre en avant ses propres déclarations sans indiquer de façon explicite quelle est la nature des violations dont elle aurait été victime, ni si elle s'en est prévalue en temps utile. Le grief est donc insuffisamment motivé au regard des art. 42 al. 2 et 106 al. 2 LTF et, partant, irrecevable. Il en va de même du grief relatif à la violation de la garantie de la propriété privée que la recourante se contente de soulever sans le motiver. Au demeurant, la recourante ne pourrait quoi qu'il en soit pas s'en prévaloir dans la mesure où un recours contre une décision d'exécution ne permet de remettre en cause la décision au fond qu'à certaines conditions, non réalisées en l'espèce (cf. consid. 4 ci-dessous).</w:t>
      </w:r>
    </w:p>
    <w:p>
      <w:r>
        <w:rPr>
          <w:b/>
        </w:rPr>
        <w:t>E. 3</w:t>
      </w:r>
    </w:p>
    <w:p>
      <w:r>
        <w:t>La recourante se plaint que l'autorité cantonale est tombée dans l'arbitraire en considérant qu'elle devait s'attendre à la notification d'une décision en décembre 2011 et, par conséquent, se voir opposer la fiction de la notification à l'issue du délai de garde.</w:t>
      </w:r>
    </w:p>
    <w:p>
      <w:r>
        <w:rPr>
          <w:b/>
        </w:rPr>
        <w:t>E. 3.1</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136 V 295 consid. 5.9 p. 309;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Ces principes ne sont pas garantis par la Constitution fédérale et ne constituent pas un élément d'un droit constitutionnel indépendant. Lorsque les autorités cantonales s'en inspirent, le Tribunal fédéral en examine l'application sous l'angle de l'arbitraire ( ATF 116 Ia 90 consid. 2b p. 92; 115 Ia 12 consid. 3a p. 15; sur la notion d'arbitraire, voir ATF 137 I 1 consid. 2.4 p. 5).</w:t>
      </w:r>
    </w:p>
    <w:p>
      <w:r>
        <w:rPr>
          <w:b/>
        </w:rPr>
        <w:t>E. 3.2</w:t>
      </w:r>
    </w:p>
    <w:p>
      <w:r>
        <w:t>La recourante ne se prévaut d'aucune circonstance qui l'aurait empêchée de retirer, dans le délai de garde, le pli recommandé contenant l'ordre de démolition de la dépendance; elle ne conteste d'ailleurs pas l'avoir reçu par pli simple. Elle allègue qu'au vu des nombreuses irrégularités formelles et matérielles dont seraient entachées les décisions précédentes, elle ne pouvait s'attendre à recevoir un acte régulier le 7 décembre 2011. Cette argumentation n'est pas pertinente. La supposée irrégularité de l'acte ne pouvait la dispenser de retirer le pli recommandé. Au contraire, seul le retrait aurait pu lui permettre, le cas échéant, de se prévaloir de cette irrégularité. En outre, comme l'a souligné la cour cantonale, la recourante est intervenue dans cette procédure à de nombreuses reprises au cours des mois qui ont précédé la décision du 7 décembre 2011. Elle a écrit directement à la municipalité à quatre reprises puis deux fois par l'intermédiaire d'un géomètre. Elle a retiré les décisions qui lui avaient été notifiées les 22 novembre et 6 décembre 2011, en relation avec la pose non autorisée d'une palissade et d'un échafaudage. Elle a d'ailleurs réagi à la décision de remise en l'état de ces deux objets par lettre du 8 décembre 2011. La recourante était donc parfaitement au fait de la procédure en cours et elle a largement démontré qu'elle était particulièrement apte à gérer ses affaires, soit personnellement soit par l'intermédiaire d'un mandataire. La recourante devait donc s'attendre à recevoir de l'autorité une décision de démolition dans la mesure où la municipalité lui avait, par deux fois déjà, demandé de respecter les plans autorisés, sans succès. La décision de la cour cantonale n'est donc pas entachée d'arbitraire.</w:t>
      </w:r>
    </w:p>
    <w:p>
      <w:r>
        <w:rPr>
          <w:b/>
        </w:rPr>
        <w:t>E. 4</w:t>
      </w:r>
    </w:p>
    <w:p>
      <w:r>
        <w:t>La recourante se plaint également que la cour cantonale a arbitrairement considéré que la décision du 1er février 2012 n'était pas susceptible de recours.</w:t>
      </w:r>
    </w:p>
    <w:p>
      <w:r>
        <w:rPr>
          <w:b/>
        </w:rPr>
        <w:t>E. 4.1</w:t>
      </w:r>
    </w:p>
    <w:p>
      <w:r>
        <w:t>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THIERRY TANQUEREL, Manuel de droit administratif, 2011, p. 389 n° 1150; MOOR/POLTIER, Droit administratif, vol. II, 2011, p. 116).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w:t>
      </w:r>
    </w:p>
    <w:p>
      <w:r>
        <w:rPr>
          <w:b/>
        </w:rPr>
        <w:t>E. 4.2</w:t>
      </w:r>
    </w:p>
    <w:p>
      <w:r>
        <w:t>En l'espèce, la décision du 1er février 2012 à laquelle la recourante s'est opposée est une décision d'exécution contre laquelle la recourante ne peut faire valoir de griefs quant au fond. Celle-ci ne conteste pas les modalités de l'exécution par substitution mais remet en cause l'obligation de procéder aux travaux de remise en l'état. Ce faisant, elle s'en prend à une obligation qui figurait déjà dans la décision du 7 décembre 2011. Elle ne fait pas non plus valoir un droit inaliénable ou imprescriptible qui lui serait propre. En effet, le droit de propriété n'entre pas dans la catégorie de ces droits ( ATF 88 I 260 consid. 3 p. 271; arrêts 1C_24/2012 du 19 avril 2012 consid. 3, in SJ 2012 I p. 477; 1P.51/1998 du 26 juin 1998 consid. 3b, in ZBl 101/2000 p. 32). Il en va de même du droit d'être entendu garanti à l' art. 29 al. 2 Cst. (arrêts 1P.474/2006 du 11 décembre 2006 consid. 2; 4P.110/2006 du 17 juillet 2006 consid. 1.1). Dans ces conditions, le recours interjeté auprès de la cour cantonale doit être considéré comme tardif, que ce soit contre la décision du 7 décembre 2011, car la recourante devait s'attendre à la notification de cette décision, ou que ce soit contre la décision d'exécution du 1er février 2012 contre laquelle elle n'a fait valoir aucun droit inaliénable ou imprescriptible qui lui serait propre. La cour cantonale n'est donc pas tombée dans l'arbitraire lorsqu'elle a rejeté le recours et confirmé la décision municipale d'Ollon.</w:t>
      </w:r>
    </w:p>
    <w:p>
      <w:r>
        <w:rPr>
          <w:b/>
        </w:rPr>
        <w:t>E. 5</w:t>
      </w:r>
    </w:p>
    <w:p>
      <w:r>
        <w:t>Il s'ensuit que le recours doit être rejeté, dans la mesure où il est recevable, aux frais de la recourante qui succombe ( art. 65 et 66 al. 1 LTF ). L'ordre de démolition et de remise en état des lieux est donc maintenu, sous réserve du délai d'exécution qui sera reporté. Les intimés, qui obtiennent gain de cause avec l'aide d'un avocat, ont droit à des dépens, à la charge de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