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1C_602/2019 vom 26. November 2019</w:t>
      </w:r>
    </w:p>
    <w:p>
      <w:r>
        <w:t>Bundesgericht, 2019-11-26, DE</w:t>
      </w:r>
    </w:p>
    <w:p>
      <w:r>
        <w:rPr>
          <w:b/>
        </w:rPr>
        <w:t xml:space="preserve">Quelle: </w:t>
      </w:r>
      <w:r>
        <w:t>https://mcp.opencaselaw.ch/entscheid/bger_1C_602_2019</w:t>
      </w:r>
    </w:p>
    <w:p>
      <w:r>
        <w:t>FR: TF 1C_602/2019 du 26 novembre 2019</w:t>
      </w:r>
    </w:p>
    <w:p>
      <w:r>
        <w:t>IT: TF 1C_602/2019 del 26 novembre 2019</w:t>
      </w:r>
    </w:p>
    <w:p>
      <w:pPr>
        <w:pStyle w:val="Heading2"/>
      </w:pPr>
      <w:r>
        <w:t>Erwägungen</w:t>
      </w:r>
    </w:p>
    <w:p>
      <w:r>
        <w:rPr>
          <w:b/>
        </w:rPr>
        <w:t>E. 1</w:t>
      </w:r>
    </w:p>
    <w:p>
      <w:r>
        <w:t>Angefochten ist ein kantonal letztinstanzlicher Entscheid, gegen den die Beschwerde ans Bundesgericht offen steht.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Das Verwaltungsgericht ist auf die Beschwerde nicht eingetreten mit der Begründung, es sei für deren Behandlung nicht zuständig. Die Beschwerdeführer legen nicht dar, inwiefern das Verwaltungsgericht Bundesrecht verletzt haben könnte, indem es auf ihre Beschwerde nicht eintrat. Das ist auch nicht ersichtlich, weshalb auf die Beschwerde wegen Verletzung der gesetzlichen Begründungspflicht nicht einzutreten ist. Auf die Erhebung von Kosten kann ausnahmsweise verzichtet werden, womit das Gesuch um unentgeltliche Rechtspflege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