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1C_602/2013 vom 11. Dezember 2013</w:t>
      </w:r>
    </w:p>
    <w:p>
      <w:r>
        <w:t>Bundesgericht, 2013-12-11, DE</w:t>
      </w:r>
    </w:p>
    <w:p>
      <w:r>
        <w:rPr>
          <w:b/>
        </w:rPr>
        <w:t xml:space="preserve">Quelle: </w:t>
      </w:r>
      <w:r>
        <w:t>https://mcp.opencaselaw.ch/entscheid/bger_1C_602_2013</w:t>
      </w:r>
    </w:p>
    <w:p>
      <w:r>
        <w:t>FR: TF 1C_602/2013 du 11 décembre 2013</w:t>
      </w:r>
    </w:p>
    <w:p>
      <w:r>
        <w:t>IT: TF 1C_602/2013 del 11 dicembre 2013</w:t>
      </w:r>
    </w:p>
    <w:p>
      <w:pPr>
        <w:pStyle w:val="Heading2"/>
      </w:pPr>
      <w:r>
        <w:t>Erwägungen</w:t>
      </w:r>
    </w:p>
    <w:p>
      <w:r>
        <w:rPr>
          <w:b/>
        </w:rPr>
        <w:t>E. 1</w:t>
      </w:r>
    </w:p>
    <w:p>
      <w:r>
        <w:t>Angefochten ist ein kantonal letztinstanzlicher Entscheid über einen Führerausweisentzug gestützt auf Art. 16 Abs. 2 und Art. 16c Abs. 1 lit. d und Abs. 2 lit. a SVG. Dagegen steht die Beschwerde in öffentlich-rechtlichen Angelegenheiten nach Art. 82 ff. BGG offen. Gerügt wird eine unrichtige Anwendung von Bundesrecht durch das kantonale Verwaltungsgericht ( Art. 95 lit. a BGG ). Das kantonale Strassenverkehrsamt ist zur Beschwerde berechtigt ( Art. 89 Abs. 2 lit. d BGG in Verbindung mit Art. 24 Abs. 2 lit. a SVG ). Die übrigen Sachurteilsvoraussetzungen geben zu keinen Bemerkungen Anlass. Auf die Beschwerde ist einzutreten.</w:t>
      </w:r>
    </w:p>
    <w:p>
      <w:r>
        <w:rPr>
          <w:b/>
        </w:rPr>
        <w:t>E. 2</w:t>
      </w:r>
    </w:p>
    <w:p>
      <w:r>
        <w:t>Es ist unbestritten, dass X.________ eine schwere Widerhandlung gegen die Strassenverkehrsvorschriften im Sinne von Art. 16c Abs. 1 lit. d SVG begangen hat (vorsätzliche Widersetzlichkeit gegen eine Blutprobe). Diese zieht nach Art. 16c Abs. 2 lit. a SVG den Entzug des Führerausweises für mindestens drei Monate nach sich. Bei dieser Entzugsdauer handelt es sich um eine Mindestentzugsdauer, die nach dem Willen des Gesetzgebers und nach der Rechtsprechung nicht unterschritten werden darf ( BGE 135 II 334 E. 2.2 S. 336 f.; Urteil des Bundesgerichts 1C_485/2011 vom 16. Januar 2012 E. 2.3.1 mit Hinweisen). Die Frage, ob bei einer schweren Verletzung des Anspruchs auf Beurteilung innert angemessener Frist, der nicht in anderer Weise Rechnung getragen werden kann, ausnahmsweise gänzlich auf eine Massnahme verzichtet werden kann, hat das Bundesgericht bisher noch nicht beantwortet ( BGE 135 II 334 E. 2.3 S. 337).</w:t>
      </w:r>
    </w:p>
    <w:p>
      <w:r>
        <w:rPr>
          <w:b/>
        </w:rPr>
        <w:t>E. 2.1</w:t>
      </w:r>
    </w:p>
    <w:p>
      <w:r>
        <w:t>Das Verwaltungsgericht hat die Entzugsdauer wegen Verletzung des Anspruchs auf Beurteilung innert angemessener Frist ( Art. 29 Abs. 1 BV ) auf eineinhalb Monate herabgesetzt, was der Beschwerdeführer als bundesrechtswidrig rügt.</w:t>
      </w:r>
    </w:p>
    <w:p>
      <w:r>
        <w:rPr>
          <w:b/>
        </w:rPr>
        <w:t>E. 2.2</w:t>
      </w:r>
    </w:p>
    <w:p>
      <w:r>
        <w:t>Der Beschwerdeführer geht mit dem Verwaltungsgericht davon aus, dass eine Verletzung des Anspruchs auf Beurteilung innert angemessener Frist vorliegt. Umstritten ist lediglich, ob diese Verletzung einer Unterschreitung der Minimalentzugsdauer von drei Monaten rechtfertigt. Das Verwaltungsgericht führt im angefochtenen Entscheid aus, eine sehr schwere Verletzung des Anspruchs auf Beurteilung innert angemessener Frist, die einen gänzlichen Verzicht auf eine Administrativmassnahme rechtfertigen würde, liege hier nicht vor. Die Entzugsdauer sei daher zu reduzieren. Eine allenfalls verminderte erzieherische Wirkung der Massnahme könne nicht zu einer weitergehenden Reduktion führen als sie aufgrund der überlangen Verfahrensdauer angebracht sei. Insbesondere sei nicht davon auszugehen, dass der Führerausweisentzug nach knapp fünf Jahren keine erzieherische Wirkung mehr entfalten könne (vgl. Urteil des Bundesgerichts 1C_485/2011 vom 16. Januar 2012 E. 2.3.3). Somit erachtete es eine Reduktion der angeordneten Dauer des Führerausweisentzugs wegen der Verletzung des Anspruchs des Beschwerdeführers auf Beurteilung innert angemessener Frist auf die Hälfte als angemessen.</w:t>
      </w:r>
    </w:p>
    <w:p>
      <w:r>
        <w:rPr>
          <w:b/>
        </w:rPr>
        <w:t>E. 2.3</w:t>
      </w:r>
    </w:p>
    <w:p>
      <w:r>
        <w:t>Der Argumentation der Vorinstanz kann insoweit gefolgt werden, als der vorliegende Fall weder in tatsächlicher noch rechtlicher Hinsicht komplex ist und somit bei einer Verfahrensdauer von insgesamt über 5½ Jahren offensichtlich eine Verletzung des Anspruchs auf Beurteilung innert angemessener Frist vorliegt. Immerhin kann nach der Rechtsprechung trotz der langen Verfahrensdauer mit dem Führerausweisentzug eine erzieherische Wirkung erreicht werden ( BGE 135 II 334 E. 2.3 S. 337; Urteil des Bundesgerichts 1C_485/2011 vom 16. Januar 2012 E. 2.3.3). Weiter ist zu beachten, dass nach Art. 16 Abs. 3 Satz 2 SVG die Mindestentzugsdauer von drei Monaten bei einer schweren Widerhandlung gegen die Strassenverkehrsvorschriften, wie sie hier vorliegt, nicht unterschritten werden darf. Das gilt nach ständiger Rechtsprechung auch bei einer Verletzung des Anspruchs auf Beurteilung innert angemessener Frist nach Art. 29 Abs. 1 BV ( BGE 135 II 334 E. 2.2 S. 337; Urteile 1C_591/2012 vom 28. Juni 2013 E. 4.3; 1C_383/ 2009 vom 30. März 2010 E. 3.2; je mit Hinweisen).</w:t>
      </w:r>
    </w:p>
    <w:p>
      <w:r>
        <w:t>Von dieser Rechtsprechung abzuweichen besteht unter den vorliegenden Umständen auch unter Berücksichtigung der Argumentation der Vorinstanz kein Anlass. Die Verletzung des Anspruchs auf Beurteilung innert angemessener Frist wiegt nicht derart schwer, dass auf den Entzug des Führerausweises verzichtet werden könnte. Eine Kürzung der Entzugsdauer kommt aufgrund der dargelegten Rechtslage nicht infrage. Der Verletzung des Anspruchs auf Beurteilung innert angemessener Frist kann im Übrigen dadurch Rechnung getragen werden, dass die Rechtsverletzung im Dispositiv des vorliegenden Urteils festgestellt wird und auf die Erhebung von Gerichtskosten gegenüber dem Beschwerdegegner zumindest teilweise verzichtet wird (vgl. Urteil des Bundesgerichts 1C_370/2013 vom 14. Oktober 2013 E. 6.2 und 7 mit Hinweisen).</w:t>
      </w:r>
    </w:p>
    <w:p>
      <w:r>
        <w:rPr>
          <w:b/>
        </w:rPr>
        <w:t>E. 3</w:t>
      </w:r>
    </w:p>
    <w:p>
      <w:r>
        <w:t>Zusammenfassend ergibt sich, dass die Beschwerde gutzuheissen und Ziff. 1 des Dispositivs des angefochtenen Entscheids des Verwaltungsgerichts aufzuheben ist. Die Dauer des Führerausweisentzugs ist auf drei Monate festzulegen. Es ist im Dispositiv des vorliegenden Urteils festzustellen, dass der Anspruch von X.________ auf Beurteilung innert angemessener Frist verletzt wurde.</w:t>
      </w:r>
    </w:p>
    <w:p>
      <w:r>
        <w:t>In Bezug auf die Kosten des kantonalen Verfahrens erscheint es gerechtfertigt, der Verletzung des Anspruchs von X.________ auf Beurteilung innert angemessener Frist dadurch Rechnung zu tragen, dass ihm nur die Hälfte der Kosten der Rechtsmittelverfahren vor der Sicherheitsdirektion und dem Verwaltungsgericht auferlegt werden. Das Verwaltungsgericht hat bereits in diesem Sinne entschieden, so dass die Kostenregelung für das kantonale Verfahren gemäss dem angefochtenen Entscheid nicht zu ändern ist ( Art. 67 BGG ). Zudem wird im bundesgerichtlichen Verfahren auf die Erhebung von Gerichtskosten verzichtet ( Art. 66 Abs. 1 und 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