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1C_601/2017 vom 1. März 2018</w:t>
      </w:r>
    </w:p>
    <w:p>
      <w:r>
        <w:t>Bundesgericht, 2018-03-01, FR</w:t>
      </w:r>
    </w:p>
    <w:p>
      <w:r>
        <w:rPr>
          <w:b/>
        </w:rPr>
        <w:t xml:space="preserve">Quelle: </w:t>
      </w:r>
      <w:r>
        <w:t>https://mcp.opencaselaw.ch/entscheid/bger_1C_601_2017</w:t>
      </w:r>
    </w:p>
    <w:p>
      <w:r>
        <w:t>FR: TF 1C_601/2017 du 1 mars 2018</w:t>
      </w:r>
    </w:p>
    <w:p>
      <w:r>
        <w:t>IT: TF 1C_601/2017 del 1 marzo 2018</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un premier grief, le recourant se plaint de l'établissement manifestement inexact des faits pertinents.</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rPr>
          <w:b/>
        </w:rPr>
        <w:t>E. 2.2</w:t>
      </w:r>
    </w:p>
    <w:p>
      <w:r>
        <w:t>Le recourant reproche à l'instance précédente de n'avoir retenu aucun des éléments - pourtant allégués - concernant les circonstances de la rencontre entre les époux et les raisons ayant motivé leur mariage. Selon lui, il faudrait compléter l'état de fait en précisant que le recourant était étudiant lorsqu'il a rencontré son épouse en Tunisie en juillet 2000, qu'ils ont pris la décision de se marier conjointement et qu'ils se sont unis afin de fonder une famille, réaliser leurs projets et vieillir ensemble. En l'occurrence, certaines de ces allégations ressortent de la partie " Faits " de l'arrêt attaqué, en particulier des déclarations de l'ex-épouse. Il n'y a toutefois pas lieu de compléter l'état de fait retenu par l'instance précédente dès lors que ces éléments ne sont pas, pour les motifs exposés ci-dessous, susceptibles d'influer sur le sort de la cause (cf. consid. 3.3 infra).</w:t>
      </w:r>
    </w:p>
    <w:p>
      <w:r>
        <w:t>Le recourant fait encore grief à l'instance précédente d'avoir retenu à tort que les époux n'avaient entrepris aucune tentative de conciliation lors de la procédure de mesures protectrices de l'union conjugale. Elle aurait, de manière insoutenable, tiré cette conclusion du fait que le recourant s'était contenté de contester la conclusion de son épouse tendant à l'allocation d'une contribution d'entretien. Ce faisant, le recourant ne propose aucune démonstration du caractère arbitraire de la constatation faite par l'instance précédente; en particulier, il ne cherche pas à démontrer qu'il aurait effectivement tenté de sauver son couple d'une manière ou d'une autre. Sa critique n'est dès lors pas conforme à l'obligation de motivation accrue déduite de l' art. 106 al. 2 LTF (cf. consid. 2.1 ci-dessus). Il n'y a dès lors pas lieu de s'écarter des constatations retenues par l'instance précédente sur ce point.</w:t>
      </w:r>
    </w:p>
    <w:p>
      <w:r>
        <w:rPr>
          <w:b/>
        </w:rPr>
        <w:t>E. 3</w:t>
      </w:r>
    </w:p>
    <w:p>
      <w:r>
        <w:t>Le recourant se plaint d'une violation de l'art. 41 de la loi sur la nationalité du 29 septembre 1952 (LN, RS 141.0). Il conteste avoir obtenu la naturalisation par des déclarations mensongères.</w:t>
      </w:r>
    </w:p>
    <w:p>
      <w:r>
        <w:rPr>
          <w:b/>
        </w:rPr>
        <w:t>E. 3.1</w:t>
      </w:r>
    </w:p>
    <w:p>
      <w:r>
        <w:t>Conformément à l' art. 41 al. 1 LN , le SEM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au sens de l' art. 27 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l'arrêt attaqué retient que les ex-époux ont signé la déclaration commune attestant de la stabilité de leur union le 21 août 2008 et que la naturalisation a été accordée au recourant par décision du 14 octobre 2008. Le 7 juillet 2009 (soit moins de neuf mois après l'octroi de la naturalisation facilitée), son épouse a déposé une requête de mesures protectrices de l'union conjugale et d'extrême urgence aux termes de laquelle elle concluait notamment à être autorisée à vivre séparée du recourant et à être mise au bénéfice d'une contribution d'entretien pendant sa formation (Master en enseignement spécialisé) d'une durée de 3 ans. Le 15 mars 2010, les époux ont déposé une requête commune tendant au divorce et à la ratification de la convention sur les effets du divorce signée le même jour par ces derniers. L'union conjugale a été dissoute par jugement de divorce du 25 août 2010. Le 16 août 2014, le recourant a épousé en Tunisie une compatriote, de plus de dix ans sa cadette, qui lui a donné un enfant le 5 novembre 2015.</w:t>
      </w:r>
    </w:p>
    <w:p>
      <w:r>
        <w:t>Le Tribunal administratif fédéral a estimé que l'enchaînement chronologique relativement rapide des événements, en particulier l'introduction par l'épouse d'une requête de mesures protectrices de l'union conjugale moins de neuf mois après l'octroi de la naturalisation facilitée, et l'ouverture de la procédure de divorce intervenue dix-sept mois après le prononcé de ladite naturalisation, était de nature à fonder la présomption que les liens conjugaux ne présentaient pas, au moment déterminant, la stabilité et l'intensité suffisantes pour retenir que le couple envisageait réellement une vie future commune (cf. arrêts du 1C_551/2015 du 22 mars 2016 consid. 3.2; 1C_20/2014 du 13 mai 2014 consid. 2.2).</w:t>
      </w:r>
    </w:p>
    <w:p>
      <w:r>
        <w:t>Le recourant ne conteste aucun de ces éléments. Quoi qu'il en pense, la présomption que sa naturalisation a été obtenue frauduleusement peut être admise compte tenu de l'enchaînement des différents événements, en particulier l'introduction d'une requête de mesures protectrices de l'union conjugale, puis la séparation durable survenues respectivement moins de neuf et onze mois après l'obtention de la nationalité suisse. C'est en vain que le recourant conteste ce mécanisme de présomption, qui a été maintes fois confirmé par la jurisprudence (cf. supra consid. 3.1.2). De plus, contrairement à ce qu'il soutient, l'instance précédente pouvait retenir que l'absence de tentative de conciliation lors de la procédure de mesures protectrices de l'union conjugale initiée par l'épouse le mois suivant sa décision de reprendre des études, renforçait cette présomption.</w:t>
      </w:r>
    </w:p>
    <w:p>
      <w:r>
        <w:t>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rPr>
          <w:b/>
        </w:rPr>
        <w:t>E. 3.3</w:t>
      </w:r>
    </w:p>
    <w:p>
      <w:r>
        <w:t>Pour renverser cette présomption, le recourant soutient qu'il formait une union conjugale stable et effective au moment de la naturalisation. Il affirme que la décision prise par son épouse en juin 2009 de reprendre ses études et, par conséquent, le report d'au moins trois ans de leur projet d'avoir un enfant constituait un événement extraordinaire ayant précipité la fin de leur mariage. Cette décision a eu l'effet d'un réel séisme pour lui. Il explique enfin ne pas avoir eu conscience des prétendues difficultés conjugales au moment de la naturalisation, comme le confirmerait notamment le week-end passé avec son épouse à Chandolin en mars 2009.</w:t>
      </w:r>
    </w:p>
    <w:p>
      <w:r>
        <w:t>Les explications du recourant ne sont toutefois pas convaincantes et ne permettent pas de renverser la présomption établie. L'instance précédente a démontré de manière convaincante qu'il était peu crédible que la seule décision de son ex-épouse de parfaire sa formation par des études en Master (reportant ainsi de 3 ans leur projet de concevoir un enfant), ait pu entraîner une crise si grave au sein du couple que l'ex-épouse ait, le mois suivant déjà, requis des mesures protectrices de l'union conjugale et d'extrême urgence en concluant à la vie séparée. L'instance précédente pouvait sans arbitraire considérer que l'ouverture aussi précipitée de cette procédure tendait à confirmer la fragilité des attaches qui liaient les conjoints et faisait apparaître la crise survenue entre ces derniers à la fin du printemps 2009 comme l'aboutissement d'un long processus de dégradation de leur relation conjugale. Le fait que l'ex-épouse ait pris l'initiative de rependre des études, sans concertation avec le recourant mis devant le fait accompli, renforce l'opinion que cette union ne présentait pas la stabilité requise au moment déterminant. Par ailleurs, le fait que le recourant n'ait pas tenté d'une manière ou d'une autre de sauver son mariage et qu'il ait aussi rapidement et facilement accepté l'idée d'une séparation durable paraît confirmer qu'il est peu vraisemblable qu'il n'ait découvert la dégradation du lien conjugal qu'au printemps 2009. Le week-end que les ex-époux auraient passé ensemble à Chandolin en mars 2009 n'est pas, à lui seul, susceptible de modifier cette appréciation. Il en va du même de son affirmation - au demeurant non confirmée par l'ex-épouse - que les intéressés auraient tenté de reprendre la vie commune en fin d'année 2013, soit plus de 5 ans après l'obtention de la naturalisation facilitée.</w:t>
      </w:r>
    </w:p>
    <w:p>
      <w:r>
        <w:t>En définitive, les éléments avancés par la recourante ne suffisent pas à renverser la présomption établie.</w:t>
      </w:r>
    </w:p>
    <w:p>
      <w:r>
        <w:rPr>
          <w:b/>
        </w:rPr>
        <w:t>E. 3.4</w:t>
      </w:r>
    </w:p>
    <w:p>
      <w:r>
        <w:t>Il en découle que les conditions d'application de l' art. 41 LN sont réunies et que le Tribunal administratif fédéral n'a pas violé le droit fédéral en confirmant l'annulation de la naturalisation facilitée qui avait été octroyée au recourant, ainsi que celle de la nationalité accordée à son enfant ( art. 41 al. 3 LN ). En ce qui concerne ce dernier, les arguments du recourant ne permettent pas de remettre en cause l'appréciation effectuée par l'autorité précédente (absence tant de motif permettant de s'écarter en l'espèce de la loi que de risque d'apatridie). Quant à sa brève critique tirée de la violation de l'art. 3 de la Convention relative aux droits de l'enfant (CDE), elle est irrecevable, faute de satisfaire aux exigences de motivation accrues prévues par l' art. 106 al. 2 LTF ( ATF 139 I 229 consid. 2.2; 131 I 366 consid. 2.2).</w:t>
      </w:r>
    </w:p>
    <w:p>
      <w:r>
        <w:rPr>
          <w:b/>
        </w:rPr>
        <w:t>E. 4</w:t>
      </w:r>
    </w:p>
    <w:p>
      <w:r>
        <w:t>Sur le vu de ce qui précède,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