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1C_601/2014 vom 24. Juni 2015</w:t>
      </w:r>
    </w:p>
    <w:p>
      <w:r>
        <w:t>Bundesgericht, 2015-06-24, FR</w:t>
      </w:r>
    </w:p>
    <w:p>
      <w:r>
        <w:rPr>
          <w:b/>
        </w:rPr>
        <w:t xml:space="preserve">Quelle: </w:t>
      </w:r>
      <w:r>
        <w:t>https://mcp.opencaselaw.ch/entscheid/bger_1C_601_2014</w:t>
      </w:r>
    </w:p>
    <w:p>
      <w:r>
        <w:t>FR: TF 1C_601/2014 du 24 juin 2015</w:t>
      </w:r>
    </w:p>
    <w:p>
      <w:r>
        <w:t>IT: TF 1C_601/2014 del 24 giugno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t>Le recourant a pris part à la procédure de recours devant le Tribunal cantonal ( art. 89 al. 1 let. a LTF ). Il est particulièrement touché par l'arrêt attaqué confirmant le rejet de sa demande de modification du permis de construire. Il peut ainsi se prévaloir d'un intérêt personnel et digne de protection à l'annulation de l'arrêt attaqué. Il a dès lors qualité pour agir au sens de l' art. 89 al. 1 LTF .</w:t>
      </w:r>
    </w:p>
    <w:p>
      <w:r>
        <w:t>Les autres conditions de recevabilité sont par ailleurs réunies, si bien qu'il y a lieu d'entrer en matière sur le fond.</w:t>
      </w:r>
    </w:p>
    <w:p>
      <w:r>
        <w:rPr>
          <w:b/>
        </w:rPr>
        <w:t>E. 2</w:t>
      </w:r>
    </w:p>
    <w:p>
      <w:r>
        <w:t>n'est pas susceptible de rendre l'analyse de la cour cantonale déraisonnable.</w:t>
      </w:r>
    </w:p>
    <w:p>
      <w:r>
        <w:t>Pour le reste, le recourant soutient que le fait que l'IBUS ait changé entre le moment où la construction de l'immeuble a été autorisée et celui où la requête de changement d'affectation a été déposée justifie une dérogation. La Préfecture de la Sarine a exposé à cet égard, dans sa décision du 22 mai 2014, que la modification du PAL de la commune de Rossens n'avait pas encore fait l'objet d'une mise à l'enquête publique et n'avait pas été approuvée par la Direction de l'aménagement, de l'environnement et des constructions du canton de Fribourg; l'IBUS qui devait être pris en compte n'était donc pas celui prévu par le nouveau PAL. Le recourant ne démontre pas que le nouveau PAL est entré en vigueur, de sorte que son grief manque de pertinence. Quoi qu'il en soit, la prise en compte du nouvel IBUS ne permettrait pas de bénéficier de l'exception liée aux contraintes de l'état existant.</w:t>
      </w:r>
    </w:p>
    <w:p>
      <w:r>
        <w:t>Par conséquent, le Tribunal cantonal pouvait considérer sans arbitraire que la Préfecture de la Sarine n'a pas abusé de son pouvoir d'appréciation en refusant de mettre le projet litigieux au bénéfice de la dérogation à la hauteur minimale des pièces prévue à l' art. 70 al. 3 2</w:t>
      </w:r>
    </w:p>
    <w:p>
      <w:r>
        <w:t>ème phrase ReLATeC.</w:t>
      </w:r>
    </w:p>
    <w:p>
      <w:r>
        <w:rPr>
          <w:b/>
        </w:rPr>
        <w:t>E. 2.1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 Dans ce contexte, le recourant est soumis aux exigences accrues de motivation de l' art. 106 al. 2 LTF .</w:t>
      </w:r>
    </w:p>
    <w:p>
      <w:r>
        <w:t>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Il en va de même de l'octroi d'une dérogation en matière de construction (arrêt 1C_137/2010 du 24 juin 2010 consid. 2.1; voir aussi, Steve Favez, La dérogation en zone à bâtir et ses alternatives, RDAF 2012 I p. 1 ss.).</w:t>
      </w:r>
    </w:p>
    <w:p>
      <w:r>
        <w:rPr>
          <w:b/>
        </w:rPr>
        <w:t>E. 2.2</w:t>
      </w:r>
    </w:p>
    <w:p>
      <w:r>
        <w:t>Selon l'art. 70 al. 1 ReLATeC, les vides d'étage, au sens du chiffre 5.4 de l'annexe de l'accord intercantonal harmonisant la terminologie dans le domaine des constructions (AIHC), ne peuvent être inférieurs à 2,40 m. L'alinéa 3 dispose que pour les habitations individuelles définies à l'article 55, des exceptions aux prescriptions des alinéas 1 et 2 peuvent être admises, à condition que l'éclairage et l'aération soient suffisants; il en est de même pour les transformations de bâtiments lorsque les contraintes de l'état existant le justifient et pour certains types d'habitations temporaires.</w:t>
      </w:r>
    </w:p>
    <w:p>
      <w:r>
        <w:t>Le rapport explicatif accompagnant le projet de règlement d'exécution de la loi sur l'aménagement du territoire et les constructions (RELATeC), émanant de la Direction de l'aménagement, de l'environnement et des constructions du canton de Fribourg, daté de novembre 2009, précise que les termes "les contraintes de l'état existant" couvrent notamment les cas des bâtiments protégés (p. 18).</w:t>
      </w:r>
    </w:p>
    <w:p>
      <w:r>
        <w:rPr>
          <w:b/>
        </w:rPr>
        <w:t>E. 2.3</w:t>
      </w:r>
    </w:p>
    <w:p>
      <w:r>
        <w:t>La cour cantonale s'est fondée sur le rapport explicatif précité qui précise que l'exception prévue à l' art. 70 al. 3 2</w:t>
      </w:r>
    </w:p>
    <w:p>
      <w:r>
        <w:t>ème phrase ReLATeC est notamment prévue pour des bâtiments protégés. Elle en a déduit que le législateur avait principalement voulu trouver des solutions pour les cas où un bâtiment ne pouvait être modifié pour des raisons de conservation de la structure. Elle a exposé que cela n'était pas le cas en l'espèce, dans la mesure où ce sont les coûts que nécessiterait la réalisation d'un projet respectant la hauteur minimale qui probablement empêchent le changement d'affectation; une dérogation ne saurait être admise pour une construction récente mise à l'enquête à une époque où les dispositions sur le vide d'étage étaient identiques. L'instance précédente a encore ajouté que l'on ne se trouvait pas non plus dans une situation où une partie d'une pièce habitable n'atteint pas la hauteur requise ou encore lorsque seule une pièce d'un logement comportant plusieurs pièces n'atteint pas la hauteur exigée: dès lors, aucune circonstance n'atténuait l'effet de la violation de cette règle de salubrité que représente le vide d'étage minimal. La cour cantonale a enfin estimé que le vide d'étage insuffisant n'était compensé au regard de la salubrité ni par un ensoleillement avantageux ni par une surface importante (de plus de 22 m</w:t>
      </w:r>
    </w:p>
    <w:p>
      <w:r>
        <w:rPr>
          <w:b/>
        </w:rPr>
        <w:t>E. 2.4</w:t>
      </w:r>
    </w:p>
    <w:p>
      <w:r>
        <w:t>Cette argumentation ne suffit cependant pas à démontrer le caractère manifestement insoutenable de celle du Tribunal cantonal, ce d'autant moins que le Tribunal de céans s'impose une retenue dans l'appréciation de l'octroi d'une dérogation en matière de construction. Il en va de même de la critique du recourant, selon laquelle la cour cantonale a retenu de manière arbitraire qu'une surface de 26 m</w:t>
      </w:r>
    </w:p>
    <w:p>
      <w:r>
        <w:rPr>
          <w:b/>
        </w:rPr>
        <w:t>E. 3</w:t>
      </w:r>
    </w:p>
    <w:p>
      <w:r>
        <w:t>Le recourant fait aussi valoir une violation de la garantie de la propriété ( art. 26 Cst. ). Comme tout droit fondamental, la propriété ne peut être restreinte qu'aux conditions de l' art. 36 Cst. La restriction doit donc reposer sur une base légale (al. 1), être justifiée par un intérêt public (al. 2) et respecter le principe de la proportionnalité (al. 3). De plus, l'essence des droits fondamentaux est inviolable (al. 4).</w:t>
      </w:r>
    </w:p>
    <w:p>
      <w:r>
        <w:t>Le recourant se prévaut d'abord d'une atteinte au noyau intangible de la propriété. Ce grief peut être d'emblée rejeté dans la mesure où le prénommé peut toujours disposer de son bien, conformément à l'affectation pour laquelle il l'a acquis.</w:t>
      </w:r>
    </w:p>
    <w:p>
      <w:r>
        <w:t>L'intéressé soutient ensuite que le principe de la proportionnalité a été violé. Il se contente toutefois d'affirmer que la faible différence de hauteur (2,30 m au lieu de 2,40 m) ne porte pas atteinte au but poursuivi par les règles sur le vide d'étage, à savoir offrir un volume suffisant pour les pièces habitables.</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t>Fût-il suffisamment motivé et recevable, ce grief devrait être rejeté dans la mesure où l'exigence réglementaire de vide d'étage est apte à produire le résultat escompté, soit garantir la salubrité des logements (règle de l'aptitude). Cette mesure respecte en outre la règle de la nécessité, puisque l'objectif visé ne peut pas être atteint par une mesure moins incisive et que la possibilité d'obtenir une dérogation est prévue. Il ressort enfin du considérant précédent que la pesée des intérêts opérée par la cour cantonale s'agissant des locaux litigieux respecte le principe de la proportionnalité au sens étroit. Le recourant ne démontre d'ailleurs pas que l'intérêt à la dérogation prime sur les exigences de salubrité poursuivies par l'obligation d'un vide d'étage de 2,40 m.</w:t>
      </w:r>
    </w:p>
    <w:p>
      <w:r>
        <w:rPr>
          <w:b/>
        </w:rPr>
        <w:t>E. 4</w:t>
      </w:r>
    </w:p>
    <w:p>
      <w:r>
        <w:t>Il s'ensuit que le recours est rejeté, dans la mesure de sa recevabilité. Le recourant, qui succombe, supportera les frais judiciaires ( art. 66 al.1 LTF ). C'est à bon droit que l'intimée, qui a agi sans l'aide d'un avocat, ne demande pas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