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1C_59/2011 vom 10. Mai 2011</w:t>
      </w:r>
    </w:p>
    <w:p>
      <w:r>
        <w:t>Bundesgericht, 2011-05-10, DE</w:t>
      </w:r>
    </w:p>
    <w:p>
      <w:r>
        <w:rPr>
          <w:b/>
        </w:rPr>
        <w:t xml:space="preserve">Quelle: </w:t>
      </w:r>
      <w:r>
        <w:t>https://mcp.opencaselaw.ch/entscheid/bger_1C_59_2011</w:t>
      </w:r>
    </w:p>
    <w:p>
      <w:r>
        <w:t>FR: TF 1C_59/2011 du 10 mai 2011</w:t>
      </w:r>
    </w:p>
    <w:p>
      <w:r>
        <w:t>IT: TF 1C_59/2011 del 10 maggio 2011</w:t>
      </w:r>
    </w:p>
    <w:p>
      <w:pPr>
        <w:pStyle w:val="Heading2"/>
      </w:pPr>
      <w:r>
        <w:t>Erwägungen</w:t>
      </w:r>
    </w:p>
    <w:p>
      <w:r>
        <w:rPr>
          <w:b/>
        </w:rPr>
        <w:t>E. 1</w:t>
      </w:r>
    </w:p>
    <w:p>
      <w:r>
        <w:t>Die Beschwerde richtet sich gegen einen kantonal letztinstanzlichen Endentscheid öffentlich-rechtlicher Natur ( Art. 82 lit. a, Art. 86 Abs. 1 lit. d und Abs. 2 sowie Art. 90 BGG ). Ein Ausschlussgrund ist nicht gegeben ( Art. 83 BGG ). Die Beschwerdeführer hatten im vorinstanzlichen Verfahren Parteistellung ( Art. 89 Abs. 1 lit. a BGG ). Als Eigentümer der von der Wiederherstellung betroffenen Liegenschaft sind sie durch das angefochtene Urteil besonders berührt (lit. b) und haben ein schutzwürdiges Interesse an dessen Aufhebung (lit. c). Sie sind daher zur Beschwerdeführung legitimiert. Auf die Beschwerde ist einzutreten. Für die eventualiter erhobene subsidiäre Verfassungsbeschwerde besteht kein Raum ( Art. 113 BGG ).</w:t>
      </w:r>
    </w:p>
    <w:p>
      <w:r>
        <w:rPr>
          <w:b/>
        </w:rPr>
        <w:t>E. 2.1</w:t>
      </w:r>
    </w:p>
    <w:p>
      <w:r>
        <w:t>Die Beschwerdeführer rügen eine Verletzung ihres Anspruchs auf rechtliches Gehör im Sinne von Art. 29 Abs. 2 BV . Die Vorinstanz habe sie bereits am 5. Juli 2010 über das laufende Verfahren informiert, obwohl sie erst am 22. Juli 2010 als Eigentümer des Grundstücks im Grundbuch eingetragen worden seien. Die Mitteilung durch die Vorinstanz sei damit verfrüht erfolgt.</w:t>
      </w:r>
    </w:p>
    <w:p>
      <w:r>
        <w:rPr>
          <w:b/>
        </w:rPr>
        <w:t>E. 2.2</w:t>
      </w:r>
    </w:p>
    <w:p>
      <w:r>
        <w:t>Diese Argumentation ist nicht stichhaltig. Die Beschwerdeführer hatten seit dem Entscheid des Staatsrats vom 12. Mai 2010 Kenntnis davon, dass sie als neue Eigentümer der fraglichen Parzelle im Grundbuch eingetragen werden würden. Dass die Eintragung erst am 22. Juli 2010 erfolgte, fällt nicht entscheidend ins Gewicht, da die den Beschwerdeführern in der Verfügung vom 5. Juli 2010 angesetzte Frist zur Stellungnahme grosszügig bemessen wurde und erst am 6. September 2010 endete. Inwiefern hierdurch die Möglichkeit der Beschwerdeführer, sich zu äussern, eingeschränkt worden sein soll, ist nicht ersichtlich.</w:t>
      </w:r>
    </w:p>
    <w:p>
      <w:r>
        <w:rPr>
          <w:b/>
        </w:rPr>
        <w:t>E. 3.1</w:t>
      </w:r>
    </w:p>
    <w:p>
      <w:r>
        <w:t>Die Beschwerdeführer rügen eine Verletzung des Willkürverbots gemäss Art. 9 BV . Sie machen geltend, die Vorinstanz setze sich darüber hinweg, dass eine abgeurteilte Sache vorliege. Zum Zeitpunkt der Verfügung vom 10. März 2004 sei die Umnutzung des Restaurants zu Wohnraum bereits vollzogen gewesen. Diese Entscheidung, wonach auf die Wiederherstellung verzichtet werde, sei mit dem Rückzug der Beschwerde durch Y.________ rechtskräftig geworden und sie hätten sich in gutem Glauben darauf verlassen können. Indem die Vorinstanz nun trotzdem die Wiederherstellung verlange, missachte sie zudem das Gebot der Rechtssicherheit und verhalte sich rechtsmissbräuchlich. Die Beschwerdeführer führen weiter aus, da die Umnutzung zum Zeitpunkt der Verfügung vom 10. März 2004 bereits voll zogen gewesen sei, entstünden keine neuen Auswirkungen auf Raum, Erschliessung und Umwelt, weshalb eine Ausnahmebewilligung im Sinne von Art. 24a RPG (Zweckänderungen ohne bauliche Massnahmen ausserhalb der Bauzonen) hätte erteilt werden können. Von den Beschwerdeführern nicht explizit bestritten wird demgegenüber die Verhältnismässigkeit einer allfälligen Wiederherstellung.</w:t>
      </w:r>
    </w:p>
    <w:p>
      <w:r>
        <w:rPr>
          <w:b/>
        </w:rPr>
        <w:t>E. 3.2</w:t>
      </w:r>
    </w:p>
    <w:p>
      <w:r>
        <w:t>Mit ihrem Vorbringen, wonach mit der Verfügung vom 10. März 2004 auf die Wiederherstellung verzichtet worden sei und insoweit eine abgeurteilte Sache vorliege, übernehmen die Beschwerdeführer die Argumentation von Y.________ im vorinstanzlichen Verfahren.</w:t>
      </w:r>
    </w:p>
    <w:p>
      <w:r>
        <w:t>Die Vorinstanz hat in diesem Zusammenhang erwogen, der Gegenstand des Baubewilligungsverfahrens werde durch das Baugesuch bestimmt. Ein nachträgliches Baugesuch sei ausgeschlossen, wenn bereits rechtskräftig über das ordentliche Bauvorhaben entschieden worden sei. Keine Identität von Bauvorhaben bestehe, wenn mit dem neuen Projekt um eine andere Nutzung nachgesucht werde. Inhalt des Baugesuchs von Y.________ vom 28. Juli 2000 habe die Nutzung der Liegenschaft als Restaurant gebildet. Y.________ habe die geplanten Umbauarbeiten in der Folge ohne Baubewilligung ausgeführt. Die unerlaubte Erstellung des Untergeschosses habe alsdann Gegenstand der Verfügung vom 10. März 2004 gebildet. Bis zu diesem Zeitpunkt sei das Gebäude mithin als Restaurant bewilligt gewesen. Erst mit dem nachträglichen Baugesuch vom 3. Juni 2005 habe Y.________ um die Umnutzung des Restaurants zu Wohnraum ersucht. Gemäss den eingereichten Plänen sollten hierzu im Untergeschoss zwei Zimmer sowie sanitäre Anlagen erstellt werden. Eine solche Zweckänderung, welche mit einem wesentlichen Eingriff in die Bausubstanz verbunden sei, sei baubewilligungspflichtig.</w:t>
      </w:r>
    </w:p>
    <w:p>
      <w:r>
        <w:t>Sofern eine Baute wie im zu beurteilenden Fall ohne gültige Bewilligung errichtet worden sei, so sei vor der Anordnung der Wiederherstellung des rechtmässigen Zustands zu prüfen, ob auch eine Abweichung von den einschlägigen materiellen Vorschriften vorliege. Es frage sich daher, ob für die Umnutzung des Restaurants in ein Wohnhaus eine Ausnahmebewilligung erteilt werden könne. Dies sei nicht der Fall. Art. 24c RPG als Konkretisierung der Bestandesgarantie für Bauten ausserhalb der Bauzone greife bei rechtswidrig erstellten oder geänderten Bauten nicht. Eine Bewilligung gemäss Art. 24a RPG falle ebenfalls ausser Betracht, weil diese Bestimmung Ausnahmen bei einer Zweckänderung nur ohne bauliche Massnahmen zulasse; diese Voraussetzungen seien vorliegend offensichtlich nicht gegeben. Sodann sei auch Art. 24b RPG nicht anwendbar, da es nicht um einen Nebenbetrieb zu einem landwirtschaftlichen Gewerbe gehe. Zonenwidrige Bauvorhaben, welche nicht speziell von den Art. 24a - 24d RPG erfasst würden, könnten - sofern sie den diesbezüglichen Anforderungen entsprächen - schliesslich nach Art. 24 RPG bewilligt werden. Eine Ausnahmebewilligung nach Art. 24 RPG setze aber voraus, dass der Zweck der Baute einen Standort ausserhalb der Bauzone erfordere, was hier nicht der Fall sei. Die Baute sei folglich sowohl in formeller als auch in materieller Hinsicht rechts-widrig und nicht bewilligungsfähig.</w:t>
      </w:r>
    </w:p>
    <w:p>
      <w:r>
        <w:t>Im zu beurteilenden Fall erweise sich die Wiederherstellung als verhältnismässig. Y.________ habe die Bauarbeiten im Wissen um das Fehlen einer Baubewilligung in Angriff genommen. Zwar könne sich auch der bösgläubige Bauherr auf den Grundsatz der Verhältnismässigkeit berufen, er müsse aber in Kauf nehmen, dass die Behörden aus grundsätzlichen Erwägungen - nämlich zum Schutz der Rechtsgleichheit und der baurechtlichen Ordnung - dem Interesse an der Wiederherstellung des gesetzmässigen Zustandes erhöhtes Gewicht beimessen würden und die dem Bauherrn erwachsenden Nachteile nicht oder nur in verringertem Mass berücksichtigten. Es gehe vorliegend nicht um eine bloss geringfügige Abweichung vom Erlaubten, und die Trennung von Bau-, Landwirtschafts- und Schutzzonen stelle eines der wichtigsten Ziele der Raumplanung dar. Die privaten Vermögensinteressen vermöchten diese gewichtigen öffentlichen Interessen nicht aufzuwiegen. Dem öffentlichen Durchsetzungsinteresse an der bau- und raumplanungsrechtlichen Ordnung komme damit im Ergebnis der Vorrang zu.</w:t>
      </w:r>
    </w:p>
    <w:p>
      <w:r>
        <w:rPr>
          <w:b/>
        </w:rPr>
        <w:t>E. 3.3</w:t>
      </w:r>
    </w:p>
    <w:p>
      <w:r>
        <w:t>Diese rechtlichen Erwägungen der Vorinstanz sind zutreffend. Da im Verfahren vor Bundesgericht nicht mehr der bisherige Eigentümer Y.________, sondern die neuen Eigentümer Beschwerde führen, ist ergänzend Folgendes festzuhalten: Der jeweilige Grundstückeigentümer gilt als Zustandsstörer und haftet stets für Störungen, die von seinem Grundstück ausgehen. Veräussert er sein Grundstück, entsteht beim Rechtsnachfolger eine eigene bauordnungsrechtliche Zustandsverantwortlichkeit. Dabei ist unerheblich, wodurch der polizei-widrige Zustand der Sache verursacht worden ist. Entscheidend ist allein die objektive Tatsache, dass eine Störung vorliegt und die Sache selbst unmittelbar die Gefahren- oder Schadensquelle bildet. Die polizeiliche Verantwortlichkeit setzt weder beim Verhaltens- noch beim Zustandsstörer Schuldfähigkeit oder konkretes (privat- oder strafrechtliches) Verschulden voraus.</w:t>
      </w:r>
    </w:p>
    <w:p>
      <w:r>
        <w:t>Die neuen Eigentümer - hier die Beschwerdeführer - haben sich den bösen Glauben ihres Rechtsvorgängers anrechnen zu lassen und können eine Wiederherstellung nicht mit dem Argument abwenden, sie hätten das Grundstück gutgläubig erworben und vom polizeiwidrigen Zustand nichts gewusst (vgl. zum Ganzen Magdalena Ruoss Fierz, Massnahmen gegen illegales Bauen, Diss. Zürich 1999, S. 79 ff.).</w:t>
      </w:r>
    </w:p>
    <w:p>
      <w:r>
        <w:rPr>
          <w:b/>
        </w:rPr>
        <w:t>E. 3.4</w:t>
      </w:r>
    </w:p>
    <w:p>
      <w:r>
        <w:t>Mit ihren Ausführungen vermögen die Beschwerdeführer keine Willkür aufzuzeigen. Die Vorinstanz hat willkürfrei festgestellt, dass erst mit dem Baugesuch vom 3. Juni 2005 um die Umnutzung des Restaurants zu Wohnraum ersucht worden ist. Wie die Vorinstanz zutreffend erwogen hat, ist ein solches mit einer Zweckänderung und einem wesentlichen Eingriff in die Bausubstanz verbundenes neues Projekt baubewilligungspflichtig. Aus der Tatsache, dass mit der Verfügung vom 10. März 2004 in Zusammenhang mit der Nutzung der Liegenschaft als Restaurant auf die Wiederherstellung verzichtet worden ist, können die Beschwerdeführer mithin nichts zu ihren Gunsten ableiten. Es liegt insoweit keine abgeurteilte Sache vor, und der Vorinstanz kann weder eine Missachtung des Grundsatzes der Rechtssicherheit noch ein rechtsmissbräuchliches Vorgehen angelastet werden. Da die Umnutzung des Restaurants zu Wohnraum mit baulichen Massnahmen verbunden ist (Erstellen von zwei Zimmern und sanitären Einrichtungen), hat die Vorinstanz schliesslich auch die Möglichkeit der Erteilung einer Ausnahmebewilligung im Sinne von Art. 24a RPG zu Recht verworfen.</w:t>
      </w:r>
    </w:p>
    <w:p>
      <w:r>
        <w:rPr>
          <w:b/>
        </w:rPr>
        <w:t>E. 4</w:t>
      </w:r>
    </w:p>
    <w:p>
      <w:r>
        <w:t>Die Beschwerde ist abzuweisen. Die Gerichtskosten sind den unterliegenden Beschwerdeführern aufzuerlegen ( Art. 66 Abs. 1 und 5 BGG ). Die in ihrem amtlichen Wirkungskreis handelnden kantonalen und kommunalen Behörden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