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599/2021 vom 11. November 2021</w:t>
      </w:r>
    </w:p>
    <w:p>
      <w:r>
        <w:t>Bundesgericht, 2021-11-11, DE</w:t>
      </w:r>
    </w:p>
    <w:p>
      <w:r>
        <w:rPr>
          <w:b/>
        </w:rPr>
        <w:t xml:space="preserve">Quelle: </w:t>
      </w:r>
      <w:r>
        <w:t>https://mcp.opencaselaw.ch/entscheid/bger_1C_599_2021</w:t>
      </w:r>
    </w:p>
    <w:p>
      <w:r>
        <w:t>FR: TF 1C 599/2021 du 11 novembre 2021</w:t>
      </w:r>
    </w:p>
    <w:p>
      <w:r>
        <w:t>IT: TF 1C 599/2021 del 11 novembre 2021</w:t>
      </w:r>
    </w:p>
    <w:p>
      <w:pPr>
        <w:pStyle w:val="Heading2"/>
      </w:pPr>
      <w:r>
        <w:t>Regeste</w:t>
      </w:r>
    </w:p>
    <w:p>
      <w:r>
        <w:t>Ermächtigung | Strafprozess</w:t>
      </w:r>
    </w:p>
    <w:p>
      <w:pPr>
        <w:pStyle w:val="Heading2"/>
      </w:pPr>
      <w:r>
        <w:t>Erwägungen</w:t>
      </w:r>
    </w:p>
    <w:p>
      <w:r>
        <w:rPr>
          <w:b/>
        </w:rPr>
        <w:t>E. 1</w:t>
      </w:r>
    </w:p>
    <w:p>
      <w:r>
        <w:t>A.________ erstattete am 2. Mai 2021 Strafanzeige u.a. gegen B.________, Staatsanwältin bei der Staatsanwaltschaft Zürich-Sihl, wegen Betrugs, Amtsmissbrauchs, "Willkür", "Fahrlässigkeit", "Vergehen gegen den Datenschutz" sowie weiterer Rechtsverstösse. Die Staatsanwaltschaft II des Kantons Zürich überwies die Sache mit Verfügung vom 18. Mai 2021 an das Obergericht des Kantons Zürich zum Entscheid über die Ermächtigung zur Durchführung einer Strafuntersuchung.</w:t>
      </w:r>
    </w:p>
    <w:p>
      <w:r>
        <w:rPr>
          <w:b/>
        </w:rPr>
        <w:t>E. 2</w:t>
      </w:r>
    </w:p>
    <w:p>
      <w:r>
        <w:t>Die III. Strafkammer des Obergerichts des Kantons Zürich erteilte mit Beschluss vom 24. August 2021 der Staatsanwaltschaft die Ermächtigung zur Strafverfolgung nicht und wies das Gesuch um Bestellung eines unentgeltlichen Rechtsbeistandes ab. Zur Begründung führte sie zusammenfassend aus, dass kein Anfangsverdacht für ein strafbares Verhalten bestehe. Das Gesuch auf Ermächtigungserteilung sei offensichtlich aussichtslos. Zudem sei der Anzeiger durchaus in der Lage, seine Rechte selbst zu wahren, weshalb das Gesuch um Bestellung eines unentgeltlichen Rechtsbeistandes abzuweisen sei.</w:t>
      </w:r>
    </w:p>
    <w:p>
      <w:r>
        <w:rPr>
          <w:b/>
        </w:rPr>
        <w:t>E. 3</w:t>
      </w:r>
    </w:p>
    <w:p>
      <w:r>
        <w:t>A.________ führt mit Eingabe vom 6. Oktober 2021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den Ausführungen der III. Strafkammer nicht rechtsgenüglich auseinander und vermag nicht aufzuzeigen, dass die III. Strafkammer mit ihrem Beschluss Recht im Sinne von Art. 42 Abs. 2 BGG verletzt hätte. Aus der Beschwerde ergibt sich nicht im Einzelnen und konkret,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Verbeiständung nicht zu entsprechen ( Art. 64 BGG ). Indessen kann ausnahmsweise auf eine Kostenauflage verzichtet werden ( Art. 66 Abs. 1 BGG ). Im Übrigen ist festzuhalten, dass eine Beschwerde gegen einen Entscheid innert 30 Tagen nach der Eröffnung beim Bundesgericht einzureichen ist ( Art. 100 Abs. 1 BGG ). Als gesetzliche Frist ist die Beschwerdefrist nicht erstreckbar ( Art. 47 BGG ). Die vorliegende Beschwerde ist am letzten Tag der Beschwerdefrist eingereicht worden. Einem allfälligen unentgeltlichen Rechtsbeistand hätte somit keine Nachfrist zur Einreichung einer verbesserten Beschwerdeschrift gewährt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