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1C_595/2020 vom 23. März 2021</w:t>
      </w:r>
    </w:p>
    <w:p>
      <w:r>
        <w:t>Bundesgericht, 2021-03-23, DE</w:t>
      </w:r>
    </w:p>
    <w:p>
      <w:r>
        <w:rPr>
          <w:b/>
        </w:rPr>
        <w:t xml:space="preserve">Quelle: </w:t>
      </w:r>
      <w:r>
        <w:t>https://mcp.opencaselaw.ch/entscheid/bger_1C_595_2020</w:t>
      </w:r>
    </w:p>
    <w:p>
      <w:r>
        <w:t>FR: TF 1C_595/2020 du 23 mars 2021</w:t>
      </w:r>
    </w:p>
    <w:p>
      <w:r>
        <w:t>IT: TF 1C_595/2020 del 23 marzo 2021</w:t>
      </w:r>
    </w:p>
    <w:p>
      <w:pPr>
        <w:pStyle w:val="Heading2"/>
      </w:pPr>
      <w:r>
        <w:t>Erwägungen</w:t>
      </w:r>
    </w:p>
    <w:p>
      <w:r>
        <w:rPr>
          <w:b/>
        </w:rPr>
        <w:t>E. 1.1</w:t>
      </w:r>
    </w:p>
    <w:p>
      <w:r>
        <w:t>Grundsätzlich steht gegen Urteile des Bundesverwaltungsgerichts die Beschwerde in öffentlich-rechtlichen Angelegenheiten an das Bundesgericht offen ( Art. 82 lit. a und Art. 86 Abs. 1 lit. a BGG ). Die Beschwerde ist jedoch nach Art. 83 lit. w BGG ausgeschlossen gegen Entscheide auf dem Gebiet des Elektrizitätsrechts betreffend die Plangenehmigung von Stark- und Schwachstromanlagen und die Entscheide auf diesem Gebiet betreffend Enteignung der für den Bau oder Betrieb solcher Anlagen notwendigen Rechte, wenn sich keine Rechtsfrage von grundsätzlicher Bedeutung stellt.</w:t>
      </w:r>
    </w:p>
    <w:p>
      <w:r>
        <w:rPr>
          <w:b/>
        </w:rPr>
        <w:t>E. 1.2</w:t>
      </w:r>
    </w:p>
    <w:p>
      <w:r>
        <w:t>Eine Rechtsfrage von grundsätzlicher Bedeutung stellt sich gemäss der Botschaft zu Art. 83 lit. w BGG, wenn eine Rechtsfrage noch nie entschieden wurde, ihre Klärung für die Praxis wegleitend sein kann und sie von ihrem Gewicht her nach einer höchstrichterlichen Beurteilung verlangt. Ferner ist das Vorliegen einer solchen Frage zu bejahen, wenn die Vorinstanz von einem bundesgerichtlichen Präjudiz abweicht oder Anlass besteht, eine Rechtsprechung zu überprüfen oder zu bekräftigen (Botschaft vom 4. September 2013 zum ersten Massnahmenpaket der Energiestrategie 2050, BBl 2013 7698 Ziff. 5.2.1). Nach der bundesgerichtlichen Rechtsprechung ist eine Rechtsfrage von grundsätzlicher Bedeutung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144 II 177 E. 1.3 S. 180; zur Publikation bestimmtes Urteil 1C_647/2019 vom 8. Oktober 2020 E. 2.1; je mit Hinweisen). Die Erfüllung dieser Voraussetzung ist in der Beschwerdeschrift darzutun, ansonsten auf die Beschwerde nicht eingetreten werden kann ( Art. 42 Abs. 2 BGG ).</w:t>
      </w:r>
    </w:p>
    <w:p>
      <w:r>
        <w:rPr>
          <w:b/>
        </w:rPr>
        <w:t>E. 1.3</w:t>
      </w:r>
    </w:p>
    <w:p>
      <w:r>
        <w:t>Die Beschwerdeführer bringen vor, es stelle sich die Frage der Vereinbarkeit von Ziff. 12 Abs. 7 des Anhangs 1 zur Verordnung vom 23. Dezember 1999 über den Schutz vor nichtionisierender Strahlung (NISV; SR 814.710) mit dem Umweltschutzgesetz. Diese Bestimmung zählt in lit. a bis g auf, was als Änderung einer Anlage gilt. Die Beschwerdeführer beanstanden, dass darin nicht die Spannungserhöhung und die dazu notwendigen baulichen Massnahmen (insbesondere die Phasenoptimierung) aufgeführt sind. Ob dies mit dem Erfordernis der vorsorglichen Emissionsbegrenzung gemäss Art. 11 Abs. 2 USG (SR 814.01) und der Sanierungspflicht bei einer wesentlichen Änderung einer sanierungsbedürftigen Anlage gemäss Art. 18 USG vereinbar sei, habe das Bundesgericht noch nie geklärt. Weil in der Schweiz zahlreiche alte Hochspannungsleitungen modernisiert werden müssten, sei die Frage von wegleitender Bedeutung.</w:t>
      </w:r>
    </w:p>
    <w:p>
      <w:r>
        <w:rPr>
          <w:b/>
        </w:rPr>
        <w:t>E. 1.4</w:t>
      </w:r>
    </w:p>
    <w:p>
      <w:r>
        <w:t>Zur Frage, was die wesentliche Änderung einer Anlage im Sinne von Art. 18 USG bedeutet, bestehen bundesgerichtliche Präjudizien. Ausschlaggebend ist dabei eine Gesamtbetrachtung, bei der die Zunahme der Emissionen, der Umfang der baulichen Massnahmen und deren Kosten sowie die Verlängerung der Lebensdauer der Gesamtanlage durch das Projekt zu berücksichtigen sind ( BGE 141 II 483 E. 4.6 S. 492 f.; Urteil 1C_104/2017 vom 25. Juni 2018 E. 6.4; je mit Hinweisen).</w:t>
      </w:r>
    </w:p>
    <w:p>
      <w:r>
        <w:t>Die Vorinstanz hat dargelegt, dass im vorliegenden Fall die baulichen Anpassungen kein erhebliches Mass annähmen und die Lebensdauer der Gesamtanlage nicht erheblich verlängert werde, was die Beschwerdeführer nicht bestreiten.</w:t>
      </w:r>
    </w:p>
    <w:p>
      <w:r>
        <w:t>In Bezug auf die nichtionisierende Strahlung ist gemäss der Stellungnahme des BAFU vom 7. Februar 2020 zu berücksichtigen, dass die Erhöhung der Spannung die magnetische Flussdichte nicht verändere. Lediglich die elektrische Feldstärke nehme dadurch zu. Der Immissionsgrenzwert werde durch die Erhöhung der Seilzugspannung in sechs Abspannabschnitten aber weiterhin eingehalten. Dafür, dass die elektrische Feldstärke unterhalb des Immissionsgrenzwerts negative Gesundheitsfolgen haben könnte, gebe es keinen wissenschaftlich begründeten Verdacht.</w:t>
      </w:r>
    </w:p>
    <w:p>
      <w:r>
        <w:t>Diese naturwissenschaftlichen Ausführungen, auf die auch das Bundesverwaltungsgericht abstellte, werden von den Beschwerdeführern zwar insofern bestritten, als sie behaupten, dass die Spannungserhöhung und die dazu notwendigen baulichen Massnahmen (insbesondere die Phasenoptimierung) zu einer Vergrösserung des Magnetfeldes und damit zu einer Erhöhung der Umweltbelastung führten. Sie begründen diese Behauptung jedoch nicht in nachvollziehbarer Weise. Insbesondere ist nicht einsichtig, weshalb die Phasenoptimierung zu einer Erhöhung des Magnetfeldes führen sollte, handelt es sich dabei ja gerade um eine Massnahme der Emissionsbegrenzung (vgl. Ziff. 15 und 16 des Anhangs 1 zur NISV). Es ist somit zusammen mit dem BAFU davon auszugehen, dass die aus Sicht des Vorsorgeprinzips ( Art. 11 Abs. 2 USG ) relevanten Emissionen nicht zunehmen.</w:t>
      </w:r>
    </w:p>
    <w:p>
      <w:r>
        <w:t>Das Bundesverwaltungsgericht hat die in der Rechtsprechung entwickelten Prinzipien zu Art. 18 USG auf den Einzelfall angewendet. Insofern stellen sich keine Grundsatzfragen. Ob Ziff. 12 Abs. 7 des Anhangs 1 zur NISV über den konkreten Fall hinaus in jeder Hinsicht dem Umweltschutzgesetz entspricht, ist vorliegend nicht zu beantworten.</w:t>
      </w:r>
    </w:p>
    <w:p>
      <w:r>
        <w:rPr>
          <w:b/>
        </w:rPr>
        <w:t>E. 2</w:t>
      </w:r>
    </w:p>
    <w:p>
      <w:r>
        <w:t>Auf die Beschwerde ist deshalb nicht einzutreten.</w:t>
      </w:r>
    </w:p>
    <w:p>
      <w:r>
        <w:t>Bei diesem Verfahrensausgang sind die Gerichtskosten den Beschwerdeführern aufzuerlegen ( Art. 66 Abs. 1 BGG ). Die Swissgrid AG prozessiert als Betreiberin des schweizerischen Übertragungsnetzes, was gemäss Art. 20 des Bundesgesetzes vom 23. März 2007 über die Stromversorgung (Stromversorgungsgesetz, StromVG; SR 734.7) eine ihr übertragene öffentliche Aufgabe darstellt. Sie hat daher keinen Anspruch auf eine Parteientschädigung ( Art. 68 Abs. 3 BGG ; Urteil 1C_418/2017 vom 28. März 2019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