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595/2012 vom 29. April 2013</w:t>
      </w:r>
    </w:p>
    <w:p>
      <w:r>
        <w:t>Bundesgericht, 2013-04-29, DE</w:t>
      </w:r>
    </w:p>
    <w:p>
      <w:r>
        <w:rPr>
          <w:b/>
        </w:rPr>
        <w:t xml:space="preserve">Quelle: </w:t>
      </w:r>
      <w:r>
        <w:t>https://mcp.opencaselaw.ch/entscheid/bger_1C_595_2012</w:t>
      </w:r>
    </w:p>
    <w:p>
      <w:r>
        <w:t>FR: TF 1C 595/2012 du 29 avril 2013</w:t>
      </w:r>
    </w:p>
    <w:p>
      <w:r>
        <w:t>IT: TF 1C 595/2012 del 29 aprile 2013</w:t>
      </w:r>
    </w:p>
    <w:p>
      <w:pPr>
        <w:pStyle w:val="Heading2"/>
      </w:pPr>
      <w:r>
        <w:t>Regeste</w:t>
      </w:r>
    </w:p>
    <w:p>
      <w:r>
        <w:t>Baubewilligung | Raumplanung und öffentliches Baurecht</w:t>
      </w:r>
    </w:p>
    <w:p>
      <w:pPr>
        <w:pStyle w:val="Heading2"/>
      </w:pPr>
      <w:r>
        <w:t>Erwägungen</w:t>
      </w:r>
    </w:p>
    <w:p>
      <w:r>
        <w:rPr>
          <w:b/>
        </w:rPr>
        <w:t>E. 1.1</w:t>
      </w:r>
    </w:p>
    <w:p>
      <w:r>
        <w:t>Das angefochtene Urteil des Verwaltungsgerichts betrifft eine öffentlich-rechtliche Angelegenheit im Sinne von Art. 82 lit. a BGG . Es handelt sich um einen selbstständig eröffneten Zwischenentscheid im Sinne von Art. 93 Abs. 1 BGG . Danach ist die Beschwerde nur zulässig,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1.2</w:t>
      </w:r>
    </w:p>
    <w:p>
      <w:r>
        <w:t>Die selbstständige Anfechtbarkeit von Vor- und Zwischenentscheiden bildet aus prozessökonomischen Gründen eine Ausnahme vom Grundsatz, dass sich das Bundesgericht mit jeder Angelegenheit nur einmal befassen soll. Die Ausnahme ist restriktiv zu handhaben, zumal die Parteien keiner Rechte verlustig gehen, wenn sie einen Vor- oder Zwischenentscheid im Sinne von Art. 93 BGG nicht selbstständig anfechten, können sie ihn doch mit dem Endentscheid anfechten, soweit er sich auf dessen Inhalt auswirkt ( Art. 93 Abs. 3 BGG ). Es obliegt dem Beschwerdeführer, detailliert darzutun, dass die Eintretensvoraussetzungen von Art. 93 BGG erfüllt sind, soweit dies nicht offensichtlich der Fall ist ( BGE 138 III 46 E. 1.2 S. 47; 137 III 324 E. 1.1 S. 328 f.; 133 III 629 E. 2.3.1 und 2.4.2 S. 632 f.; je mit Hinweisen).</w:t>
      </w:r>
    </w:p>
    <w:p>
      <w:r>
        <w:rPr>
          <w:b/>
        </w:rPr>
        <w:t>E. 1.3</w:t>
      </w:r>
    </w:p>
    <w:p>
      <w:r>
        <w:t>Der angefochtene Entscheid, mit dem die Angelegenheit zur Prüfung der Frage der Baubewilligungspflicht ans Baurekursgericht zurückgewiesen wird, bewirkt keinen nicht wieder gutzumachenden Nachteil im Sinne von Art. 93 Abs. 1 lit. a BGG . Dies behauptet der Beschwerdeführer auch nicht. Er stützt sich vielmehr auf Art. 93 Abs. 1 lit. b BGG und bringt zur Begründung vor, das Verfahren wäre im Fall einer Gutheissung der Beschwerde durch das Bundesgericht abgeschlossen und ihm selbst würde weiterer Aufwand erspart bleiben. Der Beschwerdeführer übersieht dabei, dass die von ihm angerufene Bestimmung ausdrücklich von einem "weitläufigen Beweisverfahren" spricht; die üblichen Aufwendungen für eine Fortsetzung des Verfahrens werden mithin nicht erfasst (Urteil 1C_457/2012 vom 18. Februar 2013 E. 1.2). Vorliegend ist nicht ersichtlich, inwiefern ein die Beschwerde gutheissender Entscheid einen bedeutenden Aufwand an Zeit und Kosten für ein weitläufiges Beweisverfahren ersparen würde, zumal es im Verfahren vor Baurekursgericht lediglich um die Frage der Baubewilligungspflicht gehen wird. Die Voraussetzungen von Art. 93 Abs. 1 lit. b BGG sind somit ebenfalls nicht erfüllt.</w:t>
      </w:r>
    </w:p>
    <w:p>
      <w:r>
        <w:rPr>
          <w:b/>
        </w:rPr>
        <w:t>E. 2</w:t>
      </w:r>
    </w:p>
    <w:p>
      <w:r>
        <w:t>Auf die Beschwerde ist aus diesen Gründen nicht einzutreten. Bei diesem Ausgang des Verfahrens sind die Gerichtskosten dem Beschwerdeführer aufzuerlegen ( Art. 66 Abs. 1 BGG ). Der Beschwerdeführer hat zudem den obsiegenden, anwaltlich vertretenen Beschwerdegegnern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