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594/2020 vom 2. November 2020</w:t>
      </w:r>
    </w:p>
    <w:p>
      <w:r>
        <w:t>Bundesgericht, 2020-11-02, DE</w:t>
      </w:r>
    </w:p>
    <w:p>
      <w:r>
        <w:rPr>
          <w:b/>
        </w:rPr>
        <w:t xml:space="preserve">Quelle: </w:t>
      </w:r>
      <w:r>
        <w:t>https://mcp.opencaselaw.ch/entscheid/bger_1C_594_2020</w:t>
      </w:r>
    </w:p>
    <w:p>
      <w:r>
        <w:t>FR: TF 1C 594/2020 du 2 novembre 2020</w:t>
      </w:r>
    </w:p>
    <w:p>
      <w:r>
        <w:t>IT: TF 1C 594/2020 del 2 novembre 2020</w:t>
      </w:r>
    </w:p>
    <w:p>
      <w:pPr>
        <w:pStyle w:val="Heading2"/>
      </w:pPr>
      <w:r>
        <w:t>Regeste</w:t>
      </w:r>
    </w:p>
    <w:p>
      <w:r>
        <w:t>Internationale Rechtshilfe in Strafsachen an die Ukraine; Herausgabe von Beweismitteln | Rechtshilfe und Auslieferung</w:t>
      </w:r>
    </w:p>
    <w:p>
      <w:pPr>
        <w:pStyle w:val="Heading2"/>
      </w:pPr>
      <w:r>
        <w:t>Erwägungen</w:t>
      </w:r>
    </w:p>
    <w:p>
      <w:r>
        <w:rPr>
          <w:b/>
        </w:rPr>
        <w:t>E. 1</w:t>
      </w:r>
    </w:p>
    <w:p>
      <w:r>
        <w:t>Die Beschwerdeführerinnen beantragen, es seien die Akten des Bundesstrafgerichts und der Bundesanwaltschaft beizuziehen. Wie aus den nachfolgenden Erwägungen hervorgeht, erweist sich dies nicht als erforderlich. Der Antrag wird abgewiesen.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Es handelt sich jedoch um keinen besonders bedeutenden Fall. Das Bundesstrafgericht legte unter anderem dar, dass gemäss dem Rechtshilfeersuchen der Leiter des staatlichen Fiskaldienstes, C.________, eine Steuerrückerstattung an die Gesellschaft I.________ über ca. EUR 30 Mio. organisierte, wobei letztendlich der die Beschwerdeführerinnen kontrollierende J.________ davon begünstigt worden sei. Es gebe Hinweise darauf, dass C.________ für seine Mitwirkung an der Steuerrückerstattung Gelder erhalten habe, die von den Konten der Beschwerdeführerinnen über solche von J.________ kontrollierten Gesellschaften an die K.________ Limited gelangt seien. Letztere habe ihren Sitz auf den Britischen Jungferninseln und werde gemäss dem Gesuch von C.________ kontrolliert, obwohl ihm dies in seiner Position als Staatsbeamter gemäss ukrainischem Recht nicht erlaubt sei. Das Bundesstrafgericht erwog, die C.________ vorgeworfenen Handlungen würden prima vista den Tatbestand der passiven Bestechung ( Art. 322quater StGB ) erfüllen, bzw., falls die Steuerrückerstattungen rechtmässig gewesen sein sollten, den Tatbestand der Vorteilsannahme ( Art. 322sexies StGB ). Die Voraussetzung der beidseitigen Strafbarkeit sei damit erfüllt (Art. 5 Abs. 1 lit. a des Europäischen Übereinkommens vom 20. April 1959 über die Rechtshilfe in Strafsachen [EUeR; SR 0.351.1] und Art. 64 Abs. 1 IRSG [SR 351.1]). Die Herausgabe der Kontounterlagen sei verhältnismässig, weil diese für das ausländische Verfahren potenziell erheblich seien. Eine angebliche politische Motivation des ukrainischen Strafverfahrens geltend zu machen seien die Beschwerdeführerinnen nicht legitimiert, da sie nicht Beschuldigte seien ( Art. 2 IRSG ). Auch bestünden keine Anhaltspunkte, dass sich die Ukraine nicht an das Spezialitätsprinzip halte ( Art. 67 IRSG ). Die Beschwerdeführerinnen wenden ein, es sei gleich zu entscheiden wie im Verfahren betreffend die H.________ Ltd., wo gemäss der rechtskräftigen Schlussverfügung der Bundesanwaltschaft die Rechtshilfe verweigert worden sei. Es ist allerdings entgegen ihrer Auffassung weder willkürlich ( Art. 9 BV ) noch rechtsungleich ( Art. 8 Abs. 1 BV ), wenn das Bundesstrafgericht diese eine andere Person betreffende Schlussverfügung nicht als massgebend ansah und sich darauf beschränkte zu prüfen, ob die die Beschwerdeführerinnen betreffenden Schlussverfügungen bundesrechtskonform sind. In dieser Hinsicht erscheint weiter nicht entscheidend, ob J.________ die L.________ Limited, über deren Konten Gelder an die K.________ Limited geflossen sein sollen, beherrscht oder nicht, so dass auf die betreffende Kritik an der vorinstanzlichen Sachverhaltsfeststellung nicht einzugehen ist ( Art. 97 Abs. 1 BGG ). Die Erwägungen des Bundesstrafgerichts zum Verhältnismässigkeitsprinzip entsprechen der bundesgerichtlichen Rechtsprechung ( BGE 136 IV 82 E. 4 S. 85 ff.; 128 II 407 E. 6.3.1 S. 422 f.; je mit Hinweisen). Insoweit, als die Beschwerdeführerinnen geltend machen, das ausländische Strafverfahren sei politisch motiviert, setzen sie sich mit den Erwägungen im angefochtenen Entscheid zur Legitimation, diese Rüge vorzubringen, nicht auseinander, weshalb auf das Vorbringen ebenfalls nicht weiter einzugehen ist ( Art. 42 Abs. 2 BGG ; s. im Übrigen BGE 133 IV 40 E. 7.2 S. 47; Urteile 1C_252/2020 vom 19. Juni 2020 E. 3.5; 1C_613/2017 vom 18. Dezember 2017 E. 1.2; je mit Hinweisen). Rechtsfragen von grundsätzlicher Bedeutung stellen sich auch nicht in anderer Hinsicht. Der angefochtene Entscheid überzeugt.</w:t>
      </w:r>
    </w:p>
    <w:p>
      <w:r>
        <w:rPr>
          <w:b/>
        </w:rPr>
        <w:t>E. 3</w:t>
      </w:r>
    </w:p>
    <w:p>
      <w:r>
        <w:t>Auf die Beschwerde ist nicht einzutreten. Damit wird das Gesuch um aufschiebende Wirkung gegenstandslos. Der Beschwerde kommt im vorliegenden Fall ohnehin schon von Gesetzes wegen aufschiebende Wirkung zu ( Art. 103 Abs. 2 lit. c BGG ). Bei diesem Ausgang des Verfahrens tragen die Beschwerdeführerinnen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