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594/2012 vom 8. Mai 2013</w:t>
      </w:r>
    </w:p>
    <w:p>
      <w:r>
        <w:t>Bundesgericht, 2013-05-08, FR</w:t>
      </w:r>
    </w:p>
    <w:p>
      <w:r>
        <w:rPr>
          <w:b/>
        </w:rPr>
        <w:t xml:space="preserve">Quelle: </w:t>
      </w:r>
      <w:r>
        <w:t>https://mcp.opencaselaw.ch/entscheid/bger_1C_594_2012</w:t>
      </w:r>
    </w:p>
    <w:p>
      <w:r>
        <w:t>FR: TF 1C 594/2012 du 8 mai 2013</w:t>
      </w:r>
    </w:p>
    <w:p>
      <w:r>
        <w:t>IT: TF 1C 594/2012 del 8 maggio 2013</w:t>
      </w:r>
    </w:p>
    <w:p>
      <w:pPr>
        <w:pStyle w:val="Heading2"/>
      </w:pPr>
      <w:r>
        <w:t>Regeste</w:t>
      </w:r>
    </w:p>
    <w:p>
      <w:r>
        <w:t>autonomie communale, protection des arbres | Équilibre écologique</w:t>
      </w:r>
    </w:p>
    <w:p>
      <w:pPr>
        <w:pStyle w:val="Heading2"/>
      </w:pPr>
      <w:r>
        <w:t>Erwägungen</w:t>
      </w:r>
    </w:p>
    <w:p>
      <w:r>
        <w:rPr>
          <w:b/>
        </w:rPr>
        <w:t>E. 1</w:t>
      </w:r>
    </w:p>
    <w:p>
      <w:r>
        <w:t>Dirigé contre une décision prise en dernière instance cantonale dans une cause de droit public, le recours est en principe recevable comme recours en matière de droit public conformément aux art. 82 ss LTF , aucune des exceptions prévues à l' art. 83 LTF n'étant réalisée. Selon l' art. 89 al. 2 let . c LTF, les communes ont qualité pour recourir en invoquant la violation de garanties qui leur sont reconnues par les Constitutions cantonale ou fédérale. La recourante, qui invoque l'autonomie dont elle bénéficie en matière de protection du patrimoine arborisé, a ainsi qualité pour agir. La question de savoir si elle est réellement autonome dans ces domaines relève du fond ( ATF 135 I 43 consid. 1.2 p. 45; 129 I 313 consid. 4.2 p. 319 et les références).</w:t>
      </w:r>
    </w:p>
    <w:p>
      <w:r>
        <w:rPr>
          <w:b/>
        </w:rPr>
        <w:t>E. 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135 I 43 consid. 1.2 p. 45; 133 I 128 consid. 3.1 p. 131; 129 I 410 consid. 2.1 p. 413; 129 I 313 consid. 5.2 p. 320 et les arrêts cités). En matière de protection générale de la nature et des sites, le législateur cantonal a laissé aux communes le soin de désigner, par voie de classement ou de règlement communal, les arbres, cordons boisés, boqueteaux et haies vives qui doivent être maintenus soit en raison de leur valeur esthétique, soit en raison des fonctions biologiques qu'ils assurent (art. 5 al. 1 let. b de la loi cantonale du 10 décembre 1969 sur la protection de la nature, des monuments et des sites [ci-après: la LPNMS]). Les communes vaudoises disposent ainsi d'un large pouvoir d'appréciation dans le domaine de la protection du patrimoine arborisé.</w:t>
      </w:r>
    </w:p>
    <w:p>
      <w:r>
        <w:rPr>
          <w:b/>
        </w:rPr>
        <w:t>E. 2.2</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3</w:t>
      </w:r>
    </w:p>
    <w:p>
      <w:r>
        <w:t>La recourante estime que le Tribunal cantonal a retenu les faits de manière inexacte.</w:t>
      </w:r>
    </w:p>
    <w:p>
      <w:r>
        <w:rPr>
          <w:b/>
        </w:rPr>
        <w:t>E. 3.1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w:t>
      </w:r>
    </w:p>
    <w:p>
      <w:r>
        <w:rPr>
          <w:b/>
        </w:rPr>
        <w:t>E. 3.2</w:t>
      </w:r>
    </w:p>
    <w:p>
      <w:r>
        <w:t>En l'espèce, de l'avis de la recourante, le Tribunal cantonal a retenu à tort que l'on se trouvait en présence de locaux d'habitation préexistants au sens de l'art. 15 al. 1 ch. 1 RLPNMS. En vertu de cette disposition, l'abattage d'un arbre est autorisé lorsque la plantation prive un local d'habitation préexistant de son ensoleillement normal dans une mesure excessive. L'arrêt attaqué a rappelé la jurisprudence cantonale selon laquelle on se trouve en présence de locaux d'habitation préexistants lorsque l'existence de ces locaux est antérieure à celle de l'arbre, ou du moins à son développement actuel; est ainsi déterminant le fait que l'arbre a pris son ampleur actuelle (celle qui entraîne une privation excessive de soleil ou un préjudice grave) alors que l'immeuble existait déjà. En l'espèce, les intimées avaient exposé que le mélèze avait probablement été planté par les précédents propriétaires peu après la construction de la villa, au milieu des années 1960. Compte tenu de sa position à proximité du muret qui soutient la planie servant de terrasse, les juges ont considéré qu'il était effectivement vraisemblable que le mélèze avait été planté dans le cadre des aménagements extérieurs à la suite de la construction de la villa. De telles plantations, tout près de l'habitation, étaient en effet fréquentes car les propriétaires leur trouvaient de l'agrément pendant les premières années (comme dans le cas du mélèze litigieux qui mesurait 2 m lors de l'achat de la villa). Il était certain en tout cas que le mélèze litigieux avait pris son ampleur actuelle alors que l'immeuble existait déjà et on se trouvait bien en présence de locaux d'habitation dont l'existence est antérieure à celle de l'arbre, ou du moins à son développement actuel. La recourante allègue que le Tribunal cantonal s'est fié uniquement aux dires des actuelles propriétaires, qui n'étaient nullement corroborés par des éléments "un tant soi peu probants, telles des photos". Rien ne démontrait dès lors que le mélèze litigieux avait été planté après la construction de l'immeuble. Ce faisant, la recourante ne démontre pas en quoi les juges cantonaux auraient procédé à une constatation arbitraire de ce fait. Elle se contente d'affirmer le contraire de ce qui a été retenu, sans pour autant expliquer pourquoi sa version serait plus convaincante que celle des juges cantonaux. Quoi qu'il en soit, il n'apparaît pas insoutenable d'admettre que le mélèze a été planté après la construction de la villa ou à tout le moins qu'il a pris son ampleur actuelle alors que l'immeuble existait déjà, ce que la recourante ne semble d'ailleurs pas remettre en question. Partant, l'établissement des faits par le Tribunal cantonal ne contredit pas "gravement la situation de fait" et le présent grief doit être rejeté. Le Tribunal fédéral est ainsi lié par les faits retenus dans l'arrêt attaqué conformément à l' art. 105 al. 1 LTF .</w:t>
      </w:r>
    </w:p>
    <w:p>
      <w:r>
        <w:rPr>
          <w:b/>
        </w:rPr>
        <w:t>E. 4</w:t>
      </w:r>
    </w:p>
    <w:p>
      <w:r>
        <w:t>La recourante reproche à l'arrêt attaqué de faire une application arbitraire de l'art. 15 al. 1 ch. 1 RLPNMS en considérant que cette disposition "protège un propriétaire contre un arbre planté inopinément sur sa propre parcelle".</w:t>
      </w:r>
    </w:p>
    <w:p>
      <w:r>
        <w:rPr>
          <w:b/>
        </w:rPr>
        <w:t>E. 4.1</w:t>
      </w:r>
    </w:p>
    <w:p>
      <w:r>
        <w:t>Selon l'art. 6 al. 1 LPNMS, l'autorisation d'abattre des arbres protégés devra être notamment accordée pour les arbres dont l'état sanitaire n'est pas satisfaisant et pour les arbres, les haies et boqueteaux lorsqu'ils empêchent une exploitation agricole rationnelle ou lorsque des impératifs techniques ou économiques l'imposent. L'art. 15 al. 1 RLPNMS précise que l'abattage des arbres est autorisé par la municipalité lorsque la plantation prive un local d'habitation pré-existant de son ensoleillement normal dans une mesure excessive (ch. 1), la plantation nuit notablement à l'exploitation rationnelle d'un bien-fonds ou d'un domaine agricoles (ch. 2), le voisin subit un préjudice grave du fait de la plantation (ch. 3) ou des impératifs l'imposent tels que l'état sanitaire d'un arbre, la sécurité du trafic, la stabilité des rives bordant un cours d'eau, la création d'une route ou la canalisation d'un ruisseau (ch. 4).</w:t>
      </w:r>
    </w:p>
    <w:p>
      <w:r>
        <w:rPr>
          <w:b/>
        </w:rPr>
        <w:t>E. 4.2</w:t>
      </w:r>
    </w:p>
    <w:p>
      <w:r>
        <w:t>Dans le cas particulier, il n'est pas contesté que le mélèze litigieux est un arbre protégé au sens du règlement communal du plan général d'affectation de la ville de Lausanne (ci-après: le RPGA). Le Tribunal cantonal a rappelé que, selon la jurisprudence cantonale relative aux dispositions précitées, pour statuer sur une demande d'autorisation d'abattage, l'autorité communale procède à une pesée complète des intérêts en présence et détermine si l'intérêt public à la protection des arbres en cause l'emporte sur les intérêts publics ou privés qui lui sont opposés. Dans le cadre de cette pesée des intérêts, il convient notamment de tenir compte de l'importance de la fonction esthétique ou biologique des plantations en cause, de leur âge, de leur situation dans l'agglomération et de leur état sanitaire (cf. arrêt 1C_572/2011 du 3 avril 2012 consid. 5.2).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En l'occurrence, les juges cantonaux ont constaté que le mélèze litigieux, au tronc d'un diamètre de 75 cm, se trouvait à 3,75 m au sud de la partie habitée de la villa. Haut d'environ 18 m, il possédait une couronne large de 9 m qui surplombait cette construction de deux niveaux et occupait sur toute sa largeur l'espace de quelques mètres situé entre la façade et la haute haie de thuyas plantée sur la propriété voisine. L'inspection locale avait permis de constater que l'arbre obscurcissait considérablement la salle-à-manger et la cuisine des intimées, de même que la pièce qui sert de bureau à l'étage. Compte tenu du volume constitué par les branches composant la couronne, la perte d'ensoleillement existait nonobstant le fait que le feuillage du mélèze est léger et caduc. Si l'on pouvait concevoir que dans les premières années ce mélèze présentait un certain agrément, on se trouvait aujourd'hui en présence d'un arbre dont le développement était disproportionné par rapport à l'espace exigu qu'il occupait. La perte de lumière qu'engendrait sa couronne était désormais excessive, tant à l'intérieur pour les pièces situées dans la villa que pour l'étroit dégagement extérieur dont le rez-de-chaussée bénéficie du côté sud, où l'herbe peinait désormais à s'établir et où l'humidité perdurait. A ce préjudice que subissent les occupants de la villa, il fallait opposer l'intérêt à la conservation de l'arbre, mais celui-ci devait être relativisé. En effet, il fallait tenir compte de l'importance de la fonction esthétique de l'arbre dans les alentours et de sa situation dans l'agglomération. Or la parcelle comportait huit autres arbres d'essence majeure, ce qui était considérable sur une surface de 1'053 m2 où le quota requis serait - de justesse - de trois arbres. Même sans le mélèze, la parcelle présentera à la vue une silhouette marquée par le cèdre et les pins qui dépassent la toiture. En outre, on ne se trouvait pas au centre ville où la présence d'un arbre est d'autant plus importante qu'il s'agit d'un lieu où, de fait, le bitume l'emporte sur la nature, mais dans un quartier résidentiel verdoyant où toutes les autres parcelles étaient également richement arborisées.</w:t>
      </w:r>
    </w:p>
    <w:p>
      <w:r>
        <w:rPr>
          <w:b/>
        </w:rPr>
        <w:t>E. 4.3</w:t>
      </w:r>
    </w:p>
    <w:p>
      <w:r>
        <w:t>La recourante est d'avis que l'art. 15 al. 1 ch. 1 RLPNMS s'applique uniquement dans les rapports de voisinage. L'arrêt attaqué retiendrait arbitrairement que le propriétaire gêné par un arbre, planté sur sa propre parcelle après la construction d'une habitation sur cette même parcelle, serait en droit d'invoquer cette disposition. Selon la municipalité, cette interprétation va à l'encontre du but posé par le législateur, à savoir instaurer la protection des arbres; admettre le contraire, comme l'a fait le Tribunal cantonal, reviendrait à permettre au propriétaire de "tirer profit de sa propre turpitude". Il est exact que les règles relatives à la protection des arbres et aux conditions dans lesquelles leur abattage peut être autorisé se sont essentiellement développées en rapport avec les conflits de voisinage où le litige concernait l'abattage ou l'écimage d'un arbre portant atteinte à la propriété voisine (cf. arrêt du Tribunal cantonal AC.2003.0071 du 20 octobre 2003 consid. 2). Quoi qu'il en soit, l'interprétation de l'art. 15 al. 1 ch. 1 RLPNMS par le Tribunal cantonal est conforme au texte clair de cette disposition et n'a rien de choquant. Il n'est en effet pas insoutenable de considérer qu'un propriétaire puisse faire valoir une perte d'ensoleillement à cause d'un arbre planté sur sa propre parcelle.</w:t>
      </w:r>
    </w:p>
    <w:p>
      <w:r>
        <w:rPr>
          <w:b/>
        </w:rPr>
        <w:t>E. 4.4</w:t>
      </w:r>
    </w:p>
    <w:p>
      <w:r>
        <w:t>La recourante soutient ensuite que l'arrêt attaqué a violé la latitude de jugement dont elle dispose pour interpréter la législation communale. La protection qu'elle a voulu donner au patrimoine arborisé en ville est très étendue, comme la législation cantonale le lui en donne droit, et elle s'est toujours montrée très restrictive dans l'octroi des autorisations d'abattage d'arbres. Elle estime que l'importance de la fonction esthétique de l'arbre dans les alentours ainsi que sa situation dans l'agglomération ne sont pas des éléments déterminants, pas plus que le fait que la parcelle respecterait encore le quota de l'art. 53 RPGA si le mélèze était abattu. Enfin, seule la démonstration d'une perte d'ensoleillement "exceptionnellement excessive" pouvait consti-tuer un critère d'abattage d'un arbre d'essence majeur, ce qui n'avait toutefois pas été établi en l'espèce. Ce faisant, la recourante ne démontre nullement le caractère insoutenable du raisonnement précité du Tribunal cantonal. Elle se contente, dans un style appellatoire, de discuter la pesée des intérêts et d'imposer son interprétation exagérément restrictive de l'art. 15 al. 1 ch. 1 RLPNMS. La pondération par les juges cantonaux des intérêts en présence est toutefois convaincante et le résultat auquel ils parviennent échappe à l'arbitraire. Au surplus, il apparaît que le Tribunal cantonal a autorisé l'abattage du mélèze litigieux au motif qu'il était disproportionné d'imposer son maintien. Sanctionnant ainsi une décision qu'ils estimaient contraire au principe de la proportionnalité, les juges cantonaux n'ont pas pour autant remis en cause la compétence et l'autonomie de la recourante en matière de protection du patrimoine arborisé, contrairement à ce que celle-ci semble prétendre.</w:t>
      </w:r>
    </w:p>
    <w:p>
      <w:r>
        <w:rPr>
          <w:b/>
        </w:rPr>
        <w:t>E. 5</w:t>
      </w:r>
    </w:p>
    <w:p>
      <w:r>
        <w:t>Les considérants qui précèdent conduisent au rejet du recours. Conformément à l' art. 66 al. 4 LTF , il n'est pas perçu de frais judiciaires. Les intimées, assistées d'un avocat, ont droit à des dépens, à la charge de la Municipalité de Lausanne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