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593/2017 vom 9. November 2017</w:t>
      </w:r>
    </w:p>
    <w:p>
      <w:r>
        <w:t>Bundesgericht, 2017-11-09, DE</w:t>
      </w:r>
    </w:p>
    <w:p>
      <w:r>
        <w:rPr>
          <w:b/>
        </w:rPr>
        <w:t xml:space="preserve">Quelle: </w:t>
      </w:r>
      <w:r>
        <w:t>https://mcp.opencaselaw.ch/entscheid/bger_1C_593_2017</w:t>
      </w:r>
    </w:p>
    <w:p>
      <w:r>
        <w:t>FR: TF 1C 593/2017 du 9 novembre 2017</w:t>
      </w:r>
    </w:p>
    <w:p>
      <w:r>
        <w:t>IT: TF 1C 593/2017 del 9 novembre 2017</w:t>
      </w:r>
    </w:p>
    <w:p>
      <w:pPr>
        <w:pStyle w:val="Heading2"/>
      </w:pPr>
      <w:r>
        <w:t>Regeste</w:t>
      </w:r>
    </w:p>
    <w:p>
      <w:r>
        <w:t>Aufschiebende Wirkung | Raumplanung und öffentliches Baurecht</w:t>
      </w:r>
    </w:p>
    <w:p>
      <w:pPr>
        <w:pStyle w:val="Heading2"/>
      </w:pPr>
      <w:r>
        <w:t>Erwägungen</w:t>
      </w:r>
    </w:p>
    <w:p>
      <w:r>
        <w:rPr>
          <w:b/>
        </w:rPr>
        <w:t>E. 1</w:t>
      </w:r>
    </w:p>
    <w:p>
      <w:r>
        <w:t>Die Bau- und Werkkommission der Einwohnergemeinde Hägendorf bewilligte am 25. April 2017 das Baugesuch der X.________ AG für den Neubau der Logistikhalle 5 und wies die dagegen von A.________ eingereichte Einsprache ab. A.________ erhob dagegen am 23. Mai 2017 Beschwerde. Im Rahmen des Vernehmlassungsverfahrens stellte die X.________ AG am 6. Juni 2017 den Antrag, der Beschwerde sei die aufschiebende Wirkung zu entziehen. Das Bau- und Justizdepartement des Kantons Solothurn entzog mit Verfügung vom 21. Juni 2017 der Beschwerde die aufschiebende Wirkung. Am 1. Juli 2017 erhob A.________ dagegen Beschwerde, welche das Verwaltungsgericht des Kantons Solothurn mit Urteil vom 21. September 2017 abwies, soweit es darauf eintrat.</w:t>
      </w:r>
    </w:p>
    <w:p>
      <w:r>
        <w:rPr>
          <w:b/>
        </w:rPr>
        <w:t>E. 2</w:t>
      </w:r>
    </w:p>
    <w:p>
      <w:r>
        <w:t>A.________ führt mit Eingabe vom 26. Oktober 2017 Beschwerde in öffentlich-rechtlichen Angelegenheiten gegen das Urteil des Verwaltungsgerichts des Kantons Solothurn vom 21. September 2017. Mit Verfügung vom 31. Oktober 2017 forderte das Bundesgericht A.________ auf, eine vollständige Fassung des angefochtenen Urteils nachzureichen. A.________ kam dieser Aufforderung mit Eingabe vom 5. November 2017 nach und reichte gleichzeitig eine ergänzte Beschwerdeschrift ein. Das Bundesgericht verzichtet auf die Einholung von Vernehmlassungen.</w:t>
      </w:r>
    </w:p>
    <w:p>
      <w:r>
        <w:rPr>
          <w:b/>
        </w:rPr>
        <w:t>E. 3</w:t>
      </w:r>
    </w:p>
    <w:p>
      <w:r>
        <w:t>Beschwerden gegen einen Entscheid sind gemäss Art. 100 Abs. 1 BGG innert 30 Tagen nach der Eröffnung der vollständigen Ausfertigung beim Bundesgericht einzureichen. Der Beschwerdeführer hat das Urteil des Verwaltungsgerichts gemäss Sendungsinformationen der Post am 27. September 2017 in Empfang genommen. Die Beschwerdeschrift vom 5. November 2017 ist daher offensichtlich verspätet und deshalb für das vorliegende Verfahren unbeachtlich.</w:t>
      </w:r>
    </w:p>
    <w:p>
      <w:r>
        <w:rPr>
          <w:b/>
        </w:rPr>
        <w:t>E. 4.1</w:t>
      </w:r>
    </w:p>
    <w:p>
      <w:r>
        <w:t>Das angefochtene Urteil des Verwaltungsgerichts schliesst das Baubewilligungsverfahren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nicht wieder gutzumachender Nachteil im Sinne von Art. 93 Abs. 1 lit. a BGG entstehen könnte. Ein solcher ist auch nicht ersichtlich, zumal das Bau- und Justizdepartement in seiner Verfügung vom 21. Juni 2017 die Bauherrschaft darauf hingewiesen hat, dass die Aufnahme der Bauarbeiten auf ihr eigenes Risiko hin erfolge. Da die Beschwerdevoraussetzungen von Art. 93 Abs. 1 BGG offensichtlich weder dargetan noch ersichtlich sind, ist im vereinfachten Verfahren nach Art. 108 Abs. 1 BGG auf die Beschwerde nicht einzutreten.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