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591/2015 vom 16. November 2015</w:t>
      </w:r>
    </w:p>
    <w:p>
      <w:r>
        <w:t>Bundesgericht, 2015-11-16, DE</w:t>
      </w:r>
    </w:p>
    <w:p>
      <w:r>
        <w:rPr>
          <w:b/>
        </w:rPr>
        <w:t xml:space="preserve">Quelle: </w:t>
      </w:r>
      <w:r>
        <w:t>https://mcp.opencaselaw.ch/entscheid/bger_1C_591_2015</w:t>
      </w:r>
    </w:p>
    <w:p>
      <w:r>
        <w:t>FR: TF 1C 591/2015 du 16 novembre 2015</w:t>
      </w:r>
    </w:p>
    <w:p>
      <w:r>
        <w:t>IT: TF 1C 591/2015 del 16 novembre 2015</w:t>
      </w:r>
    </w:p>
    <w:p>
      <w:pPr>
        <w:pStyle w:val="Heading2"/>
      </w:pPr>
      <w:r>
        <w:t>Regeste</w:t>
      </w:r>
    </w:p>
    <w:p>
      <w:r>
        <w:t>Massnahmen nach Gewaltschutzgesetz | Strafprozess</w:t>
      </w:r>
    </w:p>
    <w:p>
      <w:pPr>
        <w:pStyle w:val="Heading2"/>
      </w:pPr>
      <w:r>
        <w:t>Erwägungen</w:t>
      </w:r>
    </w:p>
    <w:p>
      <w:r>
        <w:rPr>
          <w:b/>
        </w:rPr>
        <w:t>E. 1</w:t>
      </w:r>
    </w:p>
    <w:p>
      <w:r>
        <w:t>A. C.________ und B. C.________ sind seit Jahren verheiratet und haben drei gemeinsame Töchter, eine davon noch minderjährig. Am 29. August 2015 ordnete die Kantonspolizei Zürich gegenüber A. C.________ für die Dauer von jeweils 14 Tagen ein Betretungsverbot (Rayonverbot) für die Umgebung des Wohnortes der Mutter seiner Ehefrau sowie ein Kontaktverbot gegenüber der Ehefrau selber an; dies unter Androhung der Ungehorsamsstrafe gemäss Art. 292 StGB . Am 3. September 2015 ersuchte B. C.________ das Zwangsmassnahmengericht des Bezirksgerichts Bülach um eine dreimonatige Verlängerung der Schutzmassnahmen. Mit Verfügung vom 7. September 2015 entsprach das Gericht dem Antrag und verlängerte die Massnahmen bis am 7. Dezember 2015. Eine von A. C.________ dagegen erhobene Einsprache blieb erfolglos: Nach Anhörung der Parteien wies das Zwangsmassnahmengericht die Einsprache mit Verfügung vom 22. September 2015 ab und bestätigte die Verlängerung der Massnahmen bis zum 7. Dezember 2015. Mit Urteil vom 13. Oktober 2015 hat die Einzelrichterin der 3. Abteilung des Verwaltungsgerichts des Kantons Zürich eine von A. C.________ gegen die Verfügung vom 22. September 2015 erhobene Beschwerde abgewiesen.</w:t>
      </w:r>
    </w:p>
    <w:p>
      <w:r>
        <w:rPr>
          <w:b/>
        </w:rPr>
        <w:t>E. 2</w:t>
      </w:r>
    </w:p>
    <w:p>
      <w:r>
        <w:t>Mit Eingabe vom 9. November (Postaufgabe: 10. November) 2015 führt A. C.________ Beschwerde ans Bundesgericht mit dem Hauptbegehren, das verwaltungsgerichtliche Urteil sei aufzuheben.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 Der Beschwerdeführer kritisiert das verwaltungsgerichtliche Urteil und das zugrunde liegende Verfahren ganz allgemein, indem er dem Urteil mittels appellatorischer Kritik seine Sicht der Dinge gegenüberstellt. Dabei setzt er sich jedoch nicht konkret mit den dem Urteil zugrunde liegenden ausführlichen rechtlichen Erwägungen auseinander. Insbesondere legt er nicht rechtsgenüglich dar, inwiefern durch die verwaltungsgerichtliche Begründung bzw. durch das Urteil selbst im Ergebnis Recht im Sinne von Art. 42 Abs. 2 BGG verletzt worden sein soll. Auf die Beschwerde ist daher nicht einzutreten. Der Begründungsmangel ist offensichtlich, weshalb über die Beschwerde im vereinfachten Verfahren nach Art. 108 Abs. 1 lit. b BGG entschieden werden kann.</w:t>
      </w:r>
    </w:p>
    <w:p>
      <w:r>
        <w:rPr>
          <w:b/>
        </w:rPr>
        <w:t>E. 4</w:t>
      </w:r>
    </w:p>
    <w:p>
      <w:r>
        <w:t>Da die Beschwerde nach dem Gesagten offensichtlich aussichtslos ist, ist das Gesuch um Gewährung der unentgeltlichen Prozessführung abzuweisen ( Art. 64 BGG ). Dem Ausgang des Verfahrens entsprechend sind die bundesgerichtlichen Kosten dem Beschwerdeführer aufzuerlegen (Art. 66 Abs. 1). Der Beschwerdegegnerin ist durch das vorliegende Verfahren kein Aufwand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