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589/2018 vom 16. Januar 2019</w:t>
      </w:r>
    </w:p>
    <w:p>
      <w:r>
        <w:t>Bundesgericht, 2019-01-16, DE</w:t>
      </w:r>
    </w:p>
    <w:p>
      <w:r>
        <w:rPr>
          <w:b/>
        </w:rPr>
        <w:t xml:space="preserve">Quelle: </w:t>
      </w:r>
      <w:r>
        <w:t>https://mcp.opencaselaw.ch/entscheid/bger_1C_589_2018</w:t>
      </w:r>
    </w:p>
    <w:p>
      <w:r>
        <w:t>FR: TF 1C 589/2018 du 16 janvier 2019</w:t>
      </w:r>
    </w:p>
    <w:p>
      <w:r>
        <w:t>IT: TF 1C 589/2018 del 16 gennaio 2019</w:t>
      </w:r>
    </w:p>
    <w:p>
      <w:pPr>
        <w:pStyle w:val="Heading2"/>
      </w:pPr>
      <w:r>
        <w:t>Regeste</w:t>
      </w:r>
    </w:p>
    <w:p>
      <w:r>
        <w:t>Vorsorglicher Entzug des Führerausweises | Strassenbau und Strassenverkehr</w:t>
      </w:r>
    </w:p>
    <w:p>
      <w:pPr>
        <w:pStyle w:val="Heading2"/>
      </w:pPr>
      <w:r>
        <w:t>Erwägungen</w:t>
      </w:r>
    </w:p>
    <w:p>
      <w:r>
        <w:rPr>
          <w:b/>
        </w:rPr>
        <w:t>E. 1</w:t>
      </w:r>
    </w:p>
    <w:p>
      <w:r>
        <w:t>Angefochten ist ein kantonal letztinstanzlicher Endentscheid in einer öffentlich-rechtlichen Angelegenheit ( Art. 82 lit. a, Art. 86 Abs. 1 lit. d und Art. 90 BGG ). Dagegen steht die Beschwerde ans Bundesgericht zur Verfügung. Zu prüfen ist jedoch einzig, ob das Verwaltungsgericht zu Recht einen Nichteintretensentscheid fällte ( BGE 135 II 38 E. 1.2 S. 41). Soweit der Beschwerdeführer darüber hinausgehend verlangt, das Verwaltungsgericht sei anzuweisen, die Kosten- und Entschädigungsfolgen der kantonalen Verfahren zu seinen Gunsten neu zu verlegen, ist auf die Beschwerde nicht einzutreten.</w:t>
      </w:r>
    </w:p>
    <w:p>
      <w:r>
        <w:rPr>
          <w:b/>
        </w:rPr>
        <w:t>E. 2.1</w:t>
      </w:r>
    </w:p>
    <w:p>
      <w:r>
        <w:t>Der Beschwerdeführer macht geltend, er habe im vorinstanzlichen Verfahren nicht nur um Wiederaufnahme und Wiedererwägung ersucht, sondern auch ein Feststellungsbegehren betreffend die Widerrechtlichkeit des vorsorglichen Führerausweisentzugs und ein Begehren betreffend die Kosten- und Entschädigungsfolgen der kantonalen Verfahren gestellt. Bei wortgetreuer Auslegung des Entscheiddispositivs sei davon auszugehen, dass die Vorinstanz diese Begehren nicht behandelt habe, was eine Rechtsverweigerung darstelle.</w:t>
      </w:r>
    </w:p>
    <w:p>
      <w:r>
        <w:rPr>
          <w:b/>
        </w:rPr>
        <w:t>E. 2.2</w:t>
      </w:r>
    </w:p>
    <w:p>
      <w:r>
        <w:t>Der Beschwerdeführer hatte seine Eingabe an die Vorinstanz mit "Wiederaufnahmebegehren und/oder Wiedererwägungsgesuch" betitelt. Das Verwaltungsgericht legte dar, dass gegen seine Entscheide die Wiedererwägung nicht zur Verfügung stehe und dass das Wiedererwägungsgesuch die Voraussetzungen von Art. 81 Abs. 1 lit. c des Gesetzes des Kantons St. Gallen vom 16. Mai 1965 über die Verwaltungsrechtspflege (VRP; sGS 951.1) nicht erfülle. Aus dem Entscheid geht ohne Weiteres hervor, dass das Verwaltungsgericht auch bezüglich des Feststellungsbegehrens und des Begehrens auf Änderung der Kosten- und Entschädigungsfolgen eine gesetzliche Grundlage für das Eintreten verneinte. Dass vorliegend eine andere als die vom Verwaltungsgericht erwogene Bestimmung von Art. 81 Abs. 1 lit. c VRP in Frage käme, behauptet der Beschwerdeführer denn auch nicht. Seine Kritik geht deshalb fehl. Ob das Verwaltungsgericht bei der Anwendung von Art. 81 Abs. 1 lit. c VRP Bundesrecht verletzte, ist im Folgenden zu untersuchen (E. 4 hiernach).</w:t>
      </w:r>
    </w:p>
    <w:p>
      <w:r>
        <w:rPr>
          <w:b/>
        </w:rPr>
        <w:t>E. 3.1</w:t>
      </w:r>
    </w:p>
    <w:p>
      <w:r>
        <w:t>Der Beschwerdeführer rügt eine Verletzung des rechtlichen Gehörs ( Art. 29 Abs. 2 BV ). Er habe im vorinstanzlichen Verfahren unter Verweis auf eine Lehrmeinung dargelegt, weshalb das neue Gutachten des IRM Zürich einen Revisionsgrund darstelle. Das Verwaltungsgericht sei nicht darauf eingegangen.</w:t>
      </w:r>
    </w:p>
    <w:p>
      <w:r>
        <w:rPr>
          <w:b/>
        </w:rPr>
        <w:t>E. 3.2</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S. 70 f. mit Hinweisen).</w:t>
      </w:r>
    </w:p>
    <w:p>
      <w:r>
        <w:rPr>
          <w:b/>
        </w:rPr>
        <w:t>E. 3.3</w:t>
      </w:r>
    </w:p>
    <w:p>
      <w:r>
        <w:t>Der angefochtene Entscheid genügt diesen Anforderungen. Das Verwaltungsgericht hat unter Hinweis auf die bundesgerichtliche Rechtsprechung dargelegt, weshalb beim vorsorglichen Entzug des Führerausweises aufgrund eines späteren Gutachtens nicht rückwirkend auf die Widerrechtlichkeit der Massnahme geschlossen werden könne und das Obergutachten des IRM Zürich deshalb keinen Revisionsgrund darstelle. Der Beschwerdeführer konnte sich gestützt auf diese Begründung über die Tragweite des Entscheids Rechenschaft geben und ihn in voller Kenntnis der Sache an das Bundesgericht weiterziehen. Das rechtliche Gehör erweist sich somit als nicht verletzt.</w:t>
      </w:r>
    </w:p>
    <w:p>
      <w:r>
        <w:rPr>
          <w:b/>
        </w:rPr>
        <w:t>E. 4.1</w:t>
      </w:r>
    </w:p>
    <w:p>
      <w:r>
        <w:t>Gemäss Art. 81 Abs. 1 lit. c VRP kann gegen Verfügungen und Entscheide die Wiederaufnahme des Verfahrens mit der Begründung verlangt werden, die Behörde habe wesentliche Tatsachen oder Beweismittel, die zur Zeit des Erlasses der Verfügung oder des Entscheids bestanden hätten, nicht gekannt. Der Beschwerdeführer ist der Auffassung, das Verwaltungsgericht habe diese Bestimmung willkürlich ausgelegt. Das Obergutachten des IRM Zürich habe nachgewiesen, dass das Gutachten des IRM St. Gallen qualifiziert fehlerhaft sei. Wenn sich erweise, dass ein Gutachten, auf das in einem Verfahren massgebend abgestellt wurde, in tatsächlicher Hinsicht fehlerhaft sei, müsse ein neues Gutachten als Revisionsgrund zugelassen werden. Massgebend sei, dass das neue Beweismittel nicht bloss der Tatbestandswürdigung, sondern der Tatbestandsermittlung diene (URS PETER CAVELTI/THOMAS VÖGELI, Verwaltungsgerichtsbarkeit im Kanton St. Gallen - dargestellt an den Verfahren vor dem Verwaltungsgericht, 2. Aufl., 2003, Rn. 1194).</w:t>
      </w:r>
    </w:p>
    <w:p>
      <w:r>
        <w:rPr>
          <w:b/>
        </w:rPr>
        <w:t>E. 4.2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w:t>
      </w:r>
    </w:p>
    <w:p>
      <w:r>
        <w:rPr>
          <w:b/>
        </w:rPr>
        <w:t>E. 4.3</w:t>
      </w:r>
    </w:p>
    <w:p>
      <w:r>
        <w:t>Das Verwaltungsgericht stützte die Begründung seines Entscheids im Wesentlichen auf das Urteil des Bundesgerichts 1C_544/2016 vom 20. März 2017. Daraus geht hervor, dass ein vorsorglicher Entzug des Führerausweises nicht allein wegen einer besseren Kenntnis des Sachverhalts nachträglich widerrechtlich wird. In jenem Fall war der Beschwerdeführer in einem Strafverfahren vom Vorwurf des Führens eines motorlosen Fahrzeugs in fahrunfähigem Zustand freigesprochen worden, worauf der zuvor angeordnete Entzug des Führerausweises widerrufen wurde. Das Bundesgericht erwog, die Behörden hätten aufgrund des jeweils bekannten Sachverhalts korrekt entschieden. Es sei zudem nicht willkürlich, in Bezug auf die Parteientschädigung vom Unterliegen des Beschwerdeführers auszugehen (a.a.O., E. 3.6 f.).</w:t>
      </w:r>
    </w:p>
    <w:p>
      <w:r>
        <w:rPr>
          <w:b/>
        </w:rPr>
        <w:t>E. 4.4</w:t>
      </w:r>
    </w:p>
    <w:p>
      <w:r>
        <w:t>Zwar ist das vorliegende Verfahren teilweise anders gelagert, doch geht es im Wesentlichen um dasselbe. Der Entscheid über den vorsorglichen Vollzug ist - von Gesetzes wegen - vorläufiger Natur und basiert auf dem jeweils aktuellen Kenntnisstand. Entsprechend lässt Art. 30 der Verordnung vom 27. Oktober 1976 über die Zulassung von Personen und Fahrzeugen zum Strassenverkehr (VZV; SR 741.51) für den vorsorglichen Führerausweisentzug ernsthafte Zweifel an der Fahreignung genügen. Eine verbesserte Kenntnis der Sachumstände, sei es aufgrund der Beweiserhebungen in einem Strafverfahren, sei es, wie vorliegend, gestützt auf ein (neues) Gutachten, stellt die Rechtsmässigkeit des ursprünglichen Entscheids deshalb nicht in Frage. Das vom Beschwerdeführer neu vorgelegte Beweismittel war vor diesem Hintergrund von vornherein ungeeignet, an der Entscheidgrundlage etwas zu ändern. Es erscheint deshalb nicht als willkürlich, wenn das Verwaltungsgericht einen Revisionsgrund im Sinne von Art. 81 Abs. 1 lit. c VRP verneinte bzw. auf das Gesuch schon gar nicht eintrat.</w:t>
      </w:r>
    </w:p>
    <w:p>
      <w:r>
        <w:rPr>
          <w:b/>
        </w:rPr>
        <w:t>E. 5</w:t>
      </w:r>
    </w:p>
    <w:p>
      <w:r>
        <w:t>Die Beschwerde ist deshalb abzuweisen, soweit darauf einzutreten ist. 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