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587/2013 vom 29. August 2013</w:t>
      </w:r>
    </w:p>
    <w:p>
      <w:r>
        <w:t>Bundesgericht, 2013-08-29, FR</w:t>
      </w:r>
    </w:p>
    <w:p>
      <w:r>
        <w:rPr>
          <w:b/>
        </w:rPr>
        <w:t xml:space="preserve">Quelle: </w:t>
      </w:r>
      <w:r>
        <w:t>https://mcp.opencaselaw.ch/entscheid/bger_1C_587_2013</w:t>
      </w:r>
    </w:p>
    <w:p>
      <w:r>
        <w:t>FR: TF 1C 587/2013 du 29 août 2013</w:t>
      </w:r>
    </w:p>
    <w:p>
      <w:r>
        <w:t>IT: TF 1C 587/2013 del 29 agosto 2013</w:t>
      </w:r>
    </w:p>
    <w:p>
      <w:pPr>
        <w:pStyle w:val="Heading2"/>
      </w:pPr>
      <w:r>
        <w:t>Regeste</w:t>
      </w:r>
    </w:p>
    <w:p>
      <w:r>
        <w:t>annulation de la naturalisation facilitée | Droit de cité et droit des étrangers</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de recevabilité sont remplies, de sorte qu'il y a lieu d'entrer en matière.</w:t>
      </w:r>
    </w:p>
    <w:p>
      <w:r>
        <w:rPr>
          <w:b/>
        </w:rPr>
        <w:t>E. 2</w:t>
      </w:r>
    </w:p>
    <w:p>
      <w:r>
        <w:t>Dans un premier grief, le recourant soutient que l'autorité précédente n'aurait pas examiné l'entier des reproches qu'il avait soulevés devant elle. Elle ne se serait ainsi pas prononcée sur la pesée d'intérêts erronée effectuée par l'ODM, ainsi que sur la violation du principe de proportionnalité par cet office.</w:t>
      </w:r>
    </w:p>
    <w:p>
      <w:r>
        <w:rPr>
          <w:b/>
        </w:rPr>
        <w:t>E. 2.1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138 IV 81 consid. 2.2 p. 84, I 232 consid. 5.1 p. 237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2C_23/2009 du 25 mai 2009 consid. 3.1, in RDAF 2009 II p. 434; 1C_246/2013 du 4 juin 2013 consid. 2.1). En revanche, une autorité se rend coupable d'une violation du droit d'être entendu si elle omet de se prononcer sur des griefs qui présentent une certaine pertinence ou de prendre en considération des allégués et arguments importants pour la décision à rendre ( ATF 133 III 235 consid. 5.2 p. 248; 126 I 97 consid. 2b p. 102 s.).</w:t>
      </w:r>
    </w:p>
    <w:p>
      <w:r>
        <w:rPr>
          <w:b/>
        </w:rPr>
        <w:t>E. 2.2</w:t>
      </w:r>
    </w:p>
    <w:p>
      <w:r>
        <w:t>En l'espèce et contrairement à ce que soutient le recourant, le Tribunal administratif fédéral s'est prononcé sur les reproches soulevés (cf. consid. 10 de l'arrêt attaqué). Si sa motivation à cet égard est brève, elle ne prête cependant pas le flanc à la critique. En effet, les éléments invoqués par le recourant à l'appui de ses griefs et repris dans son mémoire devant le Tribunal fédéral - excellente intégration en Suisse depuis quatorze ans, participation à la vie sociale, connaissance parfaite d'une langue nationale, absence de procédure pénale à son encontre - ne viennent pas démontrer l'existence d'une communauté conjugale stable avec son ex-épouse au moment de la déclaration commune le 26 mars 2007 ou lors de l'octroi de la naturalisation le 3 septembre 2007 (arrêt 1C_2064/2011 du 23 août 2011 consid. 3.3 in fine). C'est donc avec raison que l'autorité précédente a retenu qu'ils étaient sans pertinence pour l'examen du présent litige et, partant, le recours doit être rejeté sur ce point.</w:t>
      </w:r>
    </w:p>
    <w:p>
      <w:r>
        <w:rPr>
          <w:b/>
        </w:rPr>
        <w:t>E. 3</w:t>
      </w:r>
    </w:p>
    <w:p>
      <w:r>
        <w:t>Le recourant reproche ensuite aux premiers juges d'avoir procédé à un raisonnement arbitraire et donc insoutenable pour rendre leur décision confirmant l'annulation de la naturalisation facilitée.</w:t>
      </w:r>
    </w:p>
    <w:p>
      <w:r>
        <w:rPr>
          <w:b/>
        </w:rPr>
        <w:t>E. 3.1</w:t>
      </w:r>
    </w:p>
    <w:p>
      <w:r>
        <w:t>L'arbitraire, prohibé par l' art. 9 Cst. , ne résulte pas du seul fait qu'une autre solution pourrait entrer en considération ou même qu'elle serait préférable; le Tribunal fédéral ne s'écarte de la solution retenue par l'instance précédente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138 III 378 consid. 6.1 p. 379 s.; 136 I 316 consid. 2.2.2 p. 318 s.; 135 V 2 consid. 1.3 p. 4 s.; 134 I 263 consid. 3.1 p. 265 s.). En particulier,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138 III 393 c. 4.3.1 p. 198; 137 III 226 consid. 4.2 p. 284).</w:t>
      </w:r>
    </w:p>
    <w:p>
      <w:r>
        <w:rPr>
          <w:b/>
        </w:rPr>
        <w:t>E. 3.2</w:t>
      </w:r>
    </w:p>
    <w:p>
      <w:r>
        <w:t>Conformément aux art. 41 al. 1 de la loi fédérale du 29 septembre 1952 sur l'acquisition et la perte de la nationalité suisse (LN ou loi sur la nationalité; RS 141.0) dans sa teneur jusqu'au 1 er mars 2011 et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3.2.1</w:t>
      </w:r>
    </w:p>
    <w:p>
      <w:r>
        <w:t>Pour qu'une naturalisation facilitée soit annulée, il faut qu'elle ait été acquise grâce à un comportement déloyal et trompeur :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rPr>
          <w:b/>
        </w:rPr>
        <w:t>E. 3.2.2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3.3</w:t>
      </w:r>
    </w:p>
    <w:p>
      <w:r>
        <w:t>Selon le recourant, la décision attaquée violerait les art. 8 Cst. et 14 CEDH dès lors que la notion de communauté conjugale impliquerait, en matière de naturalisation facilitée, une communauté de vie étroite, de toit, de table et de lit. En revanche, cette définition ne s'appliquerait plus aux citoyens suisses depuis l'abrogation de l' art. 160 al. 2 CC dont la teneur était, jusqu'au 31 décembre 1987, que le mari - chef de famille au sens de l'alinéa 1 de ce même article - choisissait la demeure commune (FF 1907 VI 28; RO 1986 122). Le recourant omet de mentionner qu'à la suite de ce même changement législatif, dont l'objectif était notamment de réaliser l'égalité dans le couple (cf. Message du Conseil fédéral du 11 juillet 1979, FF 1979 II 1179), a été adopté l' art. 162 CC . Selon cette disposition - toujours en vigueur à ce jour -, les époux choisissent ensemble la demeure commune (RO 1986 I 122; FF 1979 II 1179). Force est donc de constater que la révision législative n'avait pas comme but d'abandonner la notion de demeure commune. En conséquence, l'argumentation du recourant liée à une violation du principe de l'égalité fondée sur l'abrogation de l'art. 160 al. 2 aCC tombe à faux. Au demeurant et si, par ce biais, le recourant entendait contester le mécanisme de présomption de fait qui prévaut dans le droit de la naturalisation facilitée, il sied de rappeler que celui-ci a été maintes fois confirmé par la jurisprudence (cf. notamment ATF 135 II 161 consid. 3 p. 166).</w:t>
      </w:r>
    </w:p>
    <w:p>
      <w:r>
        <w:rPr>
          <w:b/>
        </w:rPr>
        <w:t>E. 3.4</w:t>
      </w:r>
    </w:p>
    <w:p>
      <w:r>
        <w:t>Le Tribunal administratif fédéral a d'ailleurs considéré qu'en l'espèce, l'enchaînement chronologique particulièrement rapide des faits et avant tout le court laps de temps qui s'était écoulé entre l'octroi de la nationalité (le 3 septembre 2007), le dépôt de la demande commune de divorce (le 7 février 2008) et la séparation du couple (février 2008) étaient de nature à fonder la présomption de fait que la stabilité requise du mariage du recourant n'existait déjà plus au moment de la déclaration commune (le 26 mars 2007), à tout le moins lors du prononcé de la naturalisation facilitée. Selon l'autorité précédente, un ménage uni depuis plusieurs années ne se brisait pas dans un laps de temps aussi court (cinq mois entre le prononcé de naturalisation et le dépôt de la requête commune de divorce), sans qu'un événement extraordinaire en soit la cause et/ou sans que les conjoints n'en aient eu le pressentiment.</w:t>
      </w:r>
    </w:p>
    <w:p>
      <w:r>
        <w:rPr>
          <w:b/>
        </w:rPr>
        <w:t>E. 3.5</w:t>
      </w:r>
    </w:p>
    <w:p>
      <w:r>
        <w:t>Le recourant ne remet pas ces constatations en cause, mais soutient en substance qu'il n'aurait pas été conscient de la gravité des problèmes de son couple au moment de la signature de la déclaration commune. Ainsi que l'ont rappelé les premiers juges, l'une des divergences principales entre les conjoints concernait la question d'une éventuelle descendance. L'opinion de son ex-épouse sur ce sujet - important, voire déterminant, pour un couple - était connue du recourant depuis la conclusion de leur mariage. Cette problématique semble avoir été abordée par les époux à différentes reprises, dès lors que le recourant reconnaît que leur désaccord à ce propos a été crescendo. Ce faisant, il démontre qu'il était conscient de l'impact de ce différend sur leur relation de couple. S'il pouvait espérer faire changer d'avis son ex-épouse au début de leur mariage, celle-ci a réitéré sa volonté de ne pas avoir d'enfant à la fin de l'année 2006 ou au début de l'année 2007, période durant laquelle elle a situé le début de leurs difficultés conjugales. Au regard des aspirations toujours inconciliables des conjoints au sujet des enfants au début de l'année 2007, le recourant ne pouvait alors plus sous-estimer les conséquences que cela pouvait impliquer pour l'avenir de son couple. En conséquence, l'autorité précédente n'a pas violé le droit fédéral, ni a fortiori commis d'arbitraire, en retenant que le recourant n'avait pas réussi à renverser de manière vraisemblable la présomption d'absence de communauté conjugale stable et orientée vers l'avenir, constatation qui résultait de l'enchaînement rapide des événements. Une annulation de la naturalisation facilitée entrait ainsi en considération en raison de la dissimulation de faits essentiels ( art. 41 al. 1 LN ).</w:t>
      </w:r>
    </w:p>
    <w:p>
      <w:r>
        <w:rPr>
          <w:b/>
        </w:rPr>
        <w:t>E. 4</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