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1C_586/2022 vom 12. März 2024</w:t>
      </w:r>
    </w:p>
    <w:p>
      <w:r>
        <w:t>Bundesgericht, 2024-03-12, DE</w:t>
      </w:r>
    </w:p>
    <w:p>
      <w:r>
        <w:rPr>
          <w:b/>
        </w:rPr>
        <w:t xml:space="preserve">Quelle: </w:t>
      </w:r>
      <w:r>
        <w:t>https://mcp.opencaselaw.ch/entscheid/bger_1C_586_2022</w:t>
      </w:r>
    </w:p>
    <w:p>
      <w:r>
        <w:t>FR: TF 1C_586/2022 du 12 mars 2024</w:t>
      </w:r>
    </w:p>
    <w:p>
      <w:r>
        <w:t>IT: TF 1C_586/2022 del 12 marzo 2024</w:t>
      </w:r>
    </w:p>
    <w:p>
      <w:pPr>
        <w:pStyle w:val="Heading2"/>
      </w:pPr>
      <w:r>
        <w:t>Erwägungen</w:t>
      </w:r>
    </w:p>
    <w:p>
      <w:r>
        <w:rPr>
          <w:b/>
        </w:rPr>
        <w:t>E. 1</w:t>
      </w:r>
    </w:p>
    <w:p>
      <w:r>
        <w:t>Angefochten ist ein kantonal letztinstanzlicher Endentscheid im Bereich der Opferhilfe. Dagegen steht grundsätzlich die Beschwerde in öffentlich-rechtlichen Angelegenheiten gemäss an das Bundesgericht offen (vgl. Art. 82 lit. a, Art. 86 Abs. 1 lit. d und Abs. 2 sowie Art. 90 BGG ). Ein Ausschlussgrund nach Art. 83 BGG besteht nicht. Bei der Opferhilfe geht es nicht um Staatshaftung, weshalb die Streitwertgrenze gemäss Art. 85 Abs. 1 lit. a BGG nicht anwendbar ist ( BGE 132 II 117 E. 2.2.4; Urteil 1C_561/2017 vom 4. Mai 2018 E. 1.1; je mit Hinweisen). Der Beschwerdeführer ist durch die Abweisung seiner Forderungen besonders berührt und hat ein schutzwürdiges Interesse an der Aufhebung des angefochtenen Entscheids, weshalb er zur Beschwerde berechtigt ist ( Art. 89 Abs. 1 BGG ). Da auch die übrigen Sachurteilsvoraussetzungen gegeben sind, ist auf die Beschwerde einzutreten.</w:t>
      </w:r>
    </w:p>
    <w:p>
      <w:r>
        <w:rPr>
          <w:b/>
        </w:rPr>
        <w:t>E. 2.1</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143 I 1 E. 1.4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d.h. willkürlich (vgl. dazu BGE 140 III 264 E. 2.3) ist oder auf einer Rechtsverletzung im Sinne von Art. 95 BGG beruht und wenn die Behebung des Mangels für den Ausgang des Verfahrens entscheidend sein kann ( Art. 97 Abs. 1 BGG ; BGE 147 I 73 E. 2.2; 140 III 115 E. 2; je mit Hinweisen). Eine entsprechende Rüge ist substanziiert vorzubringen ( Art. 106 Abs. 2 BGG ; BGE 141 IV 317 E. 5.4; 137 III 226 E. 4.2; je mit Hinweisen).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144 V 50 E. 4.2; 142 II 433 E. 4.4; je mit Hinweisen).</w:t>
      </w:r>
    </w:p>
    <w:p>
      <w:r>
        <w:rPr>
          <w:b/>
        </w:rPr>
        <w:t>E. 3</w:t>
      </w:r>
    </w:p>
    <w:p>
      <w:r>
        <w:t>Zunächst sind die formellen Rügen des Beschwerdeführers zu prüfen. Er rügt eine Verletzung seines Anspruchs auf rechtliches Gehör, seines Rechts auf ein faires Verfahren sowie einen Verstoss gegen die Offizialmaxime, indem die Vorinstanz infolge angeblich fehlender Zustimmung bzw. Verletzung seiner Mitwirkungspflicht auf eine SPO-Vorabklärung verzichtet habe.</w:t>
      </w:r>
    </w:p>
    <w:p>
      <w:r>
        <w:rPr>
          <w:b/>
        </w:rPr>
        <w:t>E. 3.1</w:t>
      </w:r>
    </w:p>
    <w:p>
      <w:r>
        <w:t>Der Beschwerdeführer erblickt eine Gehörsverletzung darin, dass die Vorinstanz die völlig neue Behauptung aufstelle, er habe seine Zustimmung von diversen ungerechtfertigten Bedingungen abhängig gemacht, und dies zugleich als Nichtzustimmung wertet. Dabei verkennt er den Charakter des Anspruchs auf rechtliches Gehör. Dieser verlangt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Über diese Gelegenheit hat der Beschwerdeführer im vorliegenden Verfahren vollumfänglich verfügt. Bereits die Opferhilfestelle ist von einer Verletzung seiner Mitwirkungspflicht infolge Verweigerung einer ausdrücklichen Zustimmung zur Weitergabe seiner Akten an die SPO ausgegangen. Dass die Vorinstanz ihre Begründung mit dem Argument ergänzt hat, wonach keine Zustimmung vorliege, wenn diese - wie vorliegend - von diversen (ungerechtfertigten) Bedingungen abhängig gemacht werde, stellt jedenfalls keine Gehörsverletzung dar. Inwiefern die Vorinstanz dem Beschwerdeführer die Gelegenheit hätte gewähren müssen, sich hierzu vorgängig zu äussern, ist nicht ersichtlich. Es liegt daher keine Verletzung seines Anspruchs auf rechtliches Gehör ( Art. 29 Abs. 2 BV ) vor.</w:t>
      </w:r>
    </w:p>
    <w:p>
      <w:r>
        <w:rPr>
          <w:b/>
        </w:rPr>
        <w:t>E. 3.2</w:t>
      </w:r>
    </w:p>
    <w:p>
      <w:r>
        <w:t>Im Opferhilfeverfahren stellt die Behörde den Sachverhalt von Amtes wegen fest. Die in Art. 29 Abs. 2 des Bundesgesetzes vom 23. März 2007 über die Hilfe an Opfer von Straftaten (Opferhilfegesetz, OHG; SR 312.5) verankerte Offizialmaxime enthebt das Opfer allerdings nicht von seiner Mitwirkungspflicht. So kann und muss von ihm verlangt werden, dass es soweit zumutbar diejenigen Angaben macht, die der Behörde erlauben, den Sachverhalt und die Anspruchsberechtigung näher abzuklären ( BGE 126 II 97 E. 2e; Urteil 1C_165/2014 vom 10. Dezember 2014 E. 4.4; je mit Hinweisen).</w:t>
      </w:r>
    </w:p>
    <w:p>
      <w:r>
        <w:rPr>
          <w:b/>
        </w:rPr>
        <w:t>E. 3.2.1</w:t>
      </w:r>
    </w:p>
    <w:p>
      <w:r>
        <w:t>Die Vorinstanz erwägt hierzu, die Opferhilfestelle habe beabsichtigt, weitere Abklärungen zu tätigen und hierzu die SPO mit einer Vorabklärung zu beauftragen. Dies sei jedoch am fehlenden Einverständnis des Beschwerdeführers gescheitert. Es treffe weder formell noch inhaltlich zu, dass dieser seinerseits eine Abklärung bei der SPO beantragt habe. Wer seine Zustimmung von diversen ungerechtfertigten Bedingungen abhängig mache, habe nicht zugestimmt.</w:t>
      </w:r>
    </w:p>
    <w:p>
      <w:r>
        <w:rPr>
          <w:b/>
        </w:rPr>
        <w:t>E. 3.2.2</w:t>
      </w:r>
    </w:p>
    <w:p>
      <w:r>
        <w:t>Der Beschwerdeführer bestreitet nicht, gestützt auf seine Mitwirkungspflicht gehalten gewesen zu sein, der SPO-Vorabklärung ausdrücklich zuzustimmen. Er stellt sich allerdings auf den Standpunkt, er habe sich der Vorabklärung in keiner Weise widersetzt, sondern dieser explizit zugestimmt. Seine diesbezüglichen Einwände betreffen den Sachverhalt bzw. die vorinstanzliche Beweiswürdigung. Sie sind jedoch nicht geeignet, den angefochtenen Entscheid als willkürlich umzustossen. Die Annahme der Vorinstanz, wonach keine ausdrückliche Zustimmung des Beschwerdeführers vorliege, ist mit Blick auf seine Einwände jedenfalls nicht unhaltbar. Dass sie hierfür eine vorbehalts- und bedingungslose Zustimmung verlangt, ist ebenfalls nicht zu beanstanden.</w:t>
      </w:r>
    </w:p>
    <w:p>
      <w:r>
        <w:rPr>
          <w:b/>
        </w:rPr>
        <w:t>E. 3.2.3</w:t>
      </w:r>
    </w:p>
    <w:p>
      <w:r>
        <w:t>Der Beschwerdeführer verhält sich widersprüchlich, wenn er sich einerseits auf den Standpunkt stellt, er habe seine Zustimmung zu jeder Abklärung (inklusive SPO-Vorabklärung) explizit erteilt, ja sogar selber beantragt, andererseits aber unter Berufung auf seine Mitwirkungsrechte gleichzeitig die vorgängige Beantwortung seiner Fragen bzw. Verfahrensanträge verlangt. Sein Einwand, wonach er seine Zustimmung nicht von (ungerechtfertigten) Bedingungen abhängig gemacht habe, sondern vielmehr davon losgelöste bzw. unabhängige Verfahrensanträge gestellt habe, welche die Opferhilfestelle hätte behandeln müssen, überzeugt nicht. Sämtliche Anträge (Einsicht in das Begleitschreiben und Aktenverzeichnis, Beizug der Krankenakten und Röntgenbilder, Stellung von Ergänzungsfragen, Erlass einer Zwischenverfügung etc.) beziehen sich direkt auf die SPO-Vorabklärung und werden obsolet, soweit deren Durchführung bereits aufgrund fehlender Zustimmung scheitert. Indem der Beschwerdeführer einen Anspruch auf vorgängige Beantwortung der von ihm aufgeworfenen Fragen und Verfahrensanträgen geltend macht, bestätigt er somit selbst, dass die Durchführung der SPO-Vorabklärung und damit auch seine Zustimmung davon abhängig sei. So hat er mit Verweis auf seine Mitwirkungsrechte eine sog. "Katze im Sack"-Zustimmung im Voraus denn auch explizit abgelehnt. Es ist vor diesem Hintergrund somit vertretbar, wenn die Vorinstanz das Vorliegen einer ausdrücklichen Zustimmung verneint hat, zumal der anwaltlich vertretene Beschwerdeführer mehr als genügend Gelegenheiten erhalten hat, eine solche einzureichen.</w:t>
      </w:r>
    </w:p>
    <w:p>
      <w:r>
        <w:t>Ob der Beschwerdeführer einen Anspruch auf Beurteilung der von ihm geltend gemachten Anträge hat bzw. die Vorinstanzen sämtliche seiner Bedenken gegenüber der SPO-Vorabklärung vorgängig hätten ausräumen müssen, braucht vorliegend nicht beurteilt zu werden. Ebenso wenig ist darüber zu entscheiden, ob die einzelnen Verfahrensanträge gerechtfertigt waren oder nicht. Inwiefern dem Beschwerdeführer aufgrund der verlangten Zustimmung ohne vorgängige Prüfung seiner Anträge ein Rechtsnachteil erwachsen soll, ist weder nachvollziehbar dargetan noch ersichtlich. Massgebend ist einzig, ob die Vorinstanz das Vorliegen einer ausdrücklichen Zustimmung willkürfrei verneinen durfte, was vorliegend der Fall ist. Nicht einzugehen ist insbesondere auch auf die rechtlichen Rahmenbedingungen der SPO-Vorabklärung sowie deren Angemessenheit, wobei anzumerken bleibt, dass sich die Opferhilfestelle zum Sinn und Zweck sowie zur Angemessenheit der SPO-Vorabklärung geäussert und die Unterschiede zu einem allenfalls nachträglich anzuordnenden Gutachten kurz dargelegt hat.</w:t>
      </w:r>
    </w:p>
    <w:p>
      <w:r>
        <w:rPr>
          <w:b/>
        </w:rPr>
        <w:t>E. 3.3</w:t>
      </w:r>
    </w:p>
    <w:p>
      <w:r>
        <w:t>Zusammenfassend ist nicht zu beanstanden, dass die Vorinstanz davon ausgegangen ist, der Beschwerdeführer sei der wiederholten Aufforderung der Opferhilfestelle um ausdrückliche Zustimmung zur Durchführung einer SPO-Vorabklärung und Weitergabe der Akten an die SPO unter Verletzung seiner Mitwirkungspflicht nicht nachgekommen. Die Vorinstanz durfte somit aufgrund der vorhandenen Akten entscheiden, ohne ihre Untersuchungspflicht zu verletzen. Auch die weiteren in diesem Zusammenhang erhobenen Rügen erweisen sich als unbegründet. In Bezug auf die geltend gemachte Verletzung der Rechts auf ein faires Verfahren ( Art. 29 BV ) kann daher auch dahingestellt bleiben, ob der Beschwerdeführer überhaupt seinen Rüge- und Begründungsanforderungen nachkommt (vgl. Art. 42 Abs. 2 und Art. 106 Abs. 2 BGG ; E. 2.1 hiervor).</w:t>
      </w:r>
    </w:p>
    <w:p>
      <w:r>
        <w:rPr>
          <w:b/>
        </w:rPr>
        <w:t>E. 4</w:t>
      </w:r>
    </w:p>
    <w:p>
      <w:r>
        <w:t>Der Beschwerdeführer rügt in der Sache, die Vorinstanz habe das Vorliegen einer Straftat in Form einer fahrlässigen Körperverletzung zu Unrecht als nicht wahrscheinlich erachtet. Streitig ist somit seine Eigenschaft als Opfer im Sinne von Art. 1 Abs. 1 OHG .</w:t>
      </w:r>
    </w:p>
    <w:p>
      <w:r>
        <w:rPr>
          <w:b/>
        </w:rPr>
        <w:t>E. 4.1</w:t>
      </w:r>
    </w:p>
    <w:p>
      <w:r>
        <w:t>Gemäss Art. 1 Abs. 1 OHG hat jede Person, die durch eine Straftat in ihrer körperlichen, psychischen oder sexuellen Integrität unmittelbar beeinträchtigt worden ist (Opfer), Anspruch auf Unterstützung nach diesem Gesetz (Opferhilfe). Die Opferhilfe umfasst gemäss Art. 2 OHG namentlich Beratung und Soforthilfe (lit. a), die längerfristige Hilfe der Beratungsstellen (lit. b) und Kostenbeiträge für längerfristige Hilfe Dritter (lit. c). Die entsprechenden Leistungen werden im zweiten Kapitel des OHG näher geregelt (zur längerfristigen juristischen Hilfe durch Dritte vgl. Art. 13 Abs. 2 und 3 i.V.m. Art. 14 Abs. 1 OHG ; Urteil 1C_254/2023 vom 14. Dezember 2023 E. 3.1 mit Hinweis).</w:t>
      </w:r>
    </w:p>
    <w:p>
      <w:r>
        <w:rPr>
          <w:b/>
        </w:rPr>
        <w:t>E. 4.1.1</w:t>
      </w:r>
    </w:p>
    <w:p>
      <w:r>
        <w:t>Unabdingbare Voraussetzung für die Anerkennung der Opferqualität ist das Vorliegen einer Straftat. Dabei genügt ein tatbestandsmässiges und rechtswidriges Verhalten. Ob der Täter bzw. die Täterin ermittelt oder strafrechtlich verurteilt worden ist, sich schuldhaft verhalten hat oder vorsätzlich oder - soweit der betreffende subjektive Tatbestand auf diese Weise erfüllt werden kann - fahrlässig gehandelt hat, spielt im Opferhilferecht keine Rolle (vgl. Art. 1 Abs. 3 OHG ; BGE 144 II 406 E. 3.1; 143 IV 154 E. 2.3.2; 134 II 308 E. 5.5; Urteil 1C_254/2023 vom 14. Dezember 2023 E. 3.2; je mit Hinweisen).</w:t>
      </w:r>
    </w:p>
    <w:p>
      <w:r>
        <w:rPr>
          <w:b/>
        </w:rPr>
        <w:t>E. 4.1.2</w:t>
      </w:r>
    </w:p>
    <w:p>
      <w:r>
        <w:t>Die Anforderungen an den Nachweis der Opfereigenschaft sind je nach dem Zeitpunkt sowie nach Art und Umfang der beanspruchten Hilfe unterschiedlich hoch. Ein Anspruch auf Entschädigung und Genugtuung nach Art. 2 lit. d und e sowie Art. 19 ff. OHG besteht nur, wenn eine Straftat feststeht. Wurde kein Strafverfahren eröffnet, gilt für den Nachweis der Opfereigenschaft bei der Beurteilung einer Entschädigung bzw. Genugtuung das Beweismass der überwiegenden Wahrscheinlichkeit ( BGE 144 II 406 E. 3.1 mit Hinweisen). Damit Beratung und Soforthilfe sowie längerfristige Hilfe (vgl. Art. 2 lit. a bis c sowie Art. 13 ff. OHG ) ihren Zweck erfüllen können, müssen sie rasch gewährt werden, bevor endgültig feststeht, ob ein tatbestandsmässiges und rechtswidriges Verhalten vorliegt (vgl. BGE 125 II 265 E. 2c/aa mit Hinweisen; ferner BGE 143 IV 154 E. 2.3.3). Bei der Gewährung der Soforthilfe genügt es deshalb, wenn eine die Opferstellung begründende Straftat in Betracht fällt. Der zu erfüllende Beweisgrad ist somit jener des Glaubhaftmachens. Glaubhaft gemacht ist eine Straftat dann, wenn für ihr Vorhandensein aufgrund objektiver Anhaltspunkte eine gewisse Wahrscheinlichkeit spricht, selbst wenn das Gericht noch mit der Möglichkeit rechnet, dass sie sich nicht verwirklicht haben könnte (Urteile 1C_254/2023 vom 14. Dezember 2023 E. 3.3; 1C_521/2020 vom 4. Oktober 2021 E. 4.2; je mit Hinweis). Welches Beweismass für den Nachweis der Opfereigenschaft im Zusammenhang mit der Gewährung längerfristiger (juristischer) Hilfe gilt, hat das Bundesgericht in seiner bisherigen Rechtsprechung jeweils offengelassen (vgl. Urteile 1C_521/2020 vom 4. Oktober 2021 E. 4.2; 1C_493/2020 vom 23. November 2021 E. 3.3; je mit Hinweisen). In einem kürzlich ergangenen Entscheid hat es jedoch nicht beanstandet, dass die Vorinstanz das Beweismass der überwiegenden Wahrscheinlichkeit angewendet hat (Urteil 1C_254/2023 vom 14. Dezember 2023 E. 5.3).</w:t>
      </w:r>
    </w:p>
    <w:p>
      <w:r>
        <w:rPr>
          <w:b/>
        </w:rPr>
        <w:t>E. 4.2</w:t>
      </w:r>
    </w:p>
    <w:p>
      <w:r>
        <w:t>Die Vorinstanz verweigerte die subsidiäre Kostengutsprache für längerfristige Hilfe mit der Begründung, eine Sorgfaltspflichtverletzung durch Dr. B.________ (Operateur) und entsprechend eine Straftat in Form einer fahrlässigen Körperverletzung erscheine angesichts der aktuellen Aktenlage nicht als wahrscheinlich. Durch den derzeitigen Aktenstand erscheine als ausgewiesen, dass es anlässlich der Operation vom 4. Mai 2018 im Spital C.________ zu einer undislozierten Fraktur bzw. einem Abriss der Trochanter major gekommen sei und der eingesetzte Schaft auf der linken Hüftseite sich im Varus - mithin also in einer Gelenkfehlstellung - befunden habe mit vergrössertem Offset zur Gegenseite. Der Beschwerdeführer vermöge die geltend gemachte Sorgfaltspflichtverletzung bei der Operation und der Nachbehandlung aber nur ungenügend zu substanziieren. Unbefriedigende Operationsergebnisse seien klar von der Frage zu unterscheiden, ob sich der Operateur deswegen strafbar gemacht hat, seien doch solche durchaus an der Tagesordnung und seien dem Beschwerdeführer die Operationsrisiken denn auch ausführlich aufgezeigt worden. Insbesondere fehle es bereits an der Stellungnahme durch eine ärztliche Fachperson, welche das von Dr. B.________ gewählte Vorgehen explizit und gut nachvollziehbar hinterfragen würde. Kritik angedeutet werde immerhin durch Dr. D.________, welche von einer unglücklichen Situation spreche, da der Trochanter major nicht refixiert worden sei und die entsprechende Hüftprothese einen deutlichen Offset zur Normalstellung aufweise, weshalb er dem Beschwerdeführer eine Reoperation vorgeschlagen habe. Inwiefern nicht nur das Resultat, sondern auch das konkrete Vorgehen durch Dr. B.________ zu bemängeln sei, lege Dr. D.________ indes nicht näher dar. Dr. B.________ habe den Fokus auf Physiotherapie gelegt, welche vom Beschwerdeführer nicht ausreichend durchgeführt worden zu sein scheine. Dass die vom Beschwerdeführer eingeholte Zweitmeinung von Dr. D.________ eine Reoperation vorgeschlagen habe, sei noch nicht gleichbedeutend damit, dass das von Dr. B.________ gewählte (konservative) Vorgehen nach dem allgemeinen fachlichen Wissensstand nicht mehr als vertretbar scheinen würde. Zudem lägen auch keine Hinweise auf eine ungenügende Aufklärung im Vorfeld der Operation vom 4. Mai 2018 vor.</w:t>
      </w:r>
    </w:p>
    <w:p>
      <w:r>
        <w:rPr>
          <w:b/>
        </w:rPr>
        <w:t>E. 4.3</w:t>
      </w:r>
    </w:p>
    <w:p>
      <w:r>
        <w:t>Was der Beschwerdeführer gegen diese vorinstanzliche Beurteilung vorbringt, ist nicht geeignet, das angefochtene Urteil in Frage zu stellen. Seine Einwände richten sich ausschliesslich gegen die vorinstanzliche Beweiswürdigung.</w:t>
      </w:r>
    </w:p>
    <w:p>
      <w:r>
        <w:rPr>
          <w:b/>
        </w:rPr>
        <w:t>E. 4.3.1</w:t>
      </w:r>
    </w:p>
    <w:p>
      <w:r>
        <w:t>Entgegen der Darstellung des Beschwerdeführers ist nicht erst die Vorinstanz, sondern bereits die Opferhilfestelle davon ausgegangen, dass der Trochanterabriss bereits im Spital C.________ im Rahmen der postoperativen Bildgebung erkannt worden sei, wobei sich die dort behandelnden Ärzte aufgrund der Symptome gegen eine erneute Operation entschieden hätten. Im Übrigen ist weder dargetan noch ersichtlich, inwiefern der Umstand, dass die Trochanter major-Fraktion intraoperativ und nicht erst später aufgrund eines Fehlverhaltens des Beschwerdeführers verursacht worden ist, für den Ausgang des vorliegenden Verfahrens entscheiderheblich sein soll (vgl. Art. 97 Abs. 1 BGG ). Allein daraus kann jedenfalls nicht bereits auf einen Behandlungsfehler bzw. eine Sorgfaltspflichtverletzung der behandelnden Ärzte geschlossen werden. Dass es anlässlich der Operation zu einer Läsion des Oberschenkelknochens (insbesondere des Trochanter major) kommen kann, geht bereits aus dem Dokumentationsbogen zum Aufklärungsgespräch vom 3. April 2018 hervor. Daran ändert auch der Verweis des Beschwerdeführers auf das orthopädische Lehrbuch von A. Debrunner nichts, wonach solche Komplikationen meistens vermeidbar seien, soweit eine sorgfältige Planung der Prothesen auf dem Röntgenbild mittels Schablonen erfolge.</w:t>
      </w:r>
    </w:p>
    <w:p>
      <w:r>
        <w:rPr>
          <w:b/>
        </w:rPr>
        <w:t>E. 4.3.2</w:t>
      </w:r>
    </w:p>
    <w:p>
      <w:r>
        <w:t>Soweit der Beschwerdeführer die Sorgfaltspflichtverletzung bzw. widerrechtliche Körperverletzung mit der angeblich fehlerhaften präoperativen Planung und mangelhaften Aufklärung begründet, sind seine Ausführungen ebenfalls nicht geeignet, die vorinstanzliche Beweiswürdigung als willkürlich umzustossen. Die Vorinstanz hielt in diesem Zusammenhang schlüssig fest, dem Dokumentationsbogen zum Aufklärungsgespräch vom 3. April 2018 sei zu entnehmen, es lasse sich sehr häufig erst während der Operation entscheiden, wie das neue Implantat eingesetzt werden könne. Falls erforderlich müsse der Arzt auch einen anderen Prothesetyp als geplant einsetzen oder eine andere Verankerungsmethode wählen. Im Operationsbericht werde dokumentiert, dass eine mehrfache Probereposition mit unterschiedlichen Schaftlängen erfolgt sei. Hinreichend konkrete Anhaltspunkte, die auf eine ungenügende präoperative Planung schliessen lassen würden, sind weder hinreichend dargetan noch ersichtlich. Ebenso wenig vermag der Beschwerdeführer plausibel darzulegen, dass entgegen der ursprünglichen Planung offensichtlich zu Unrecht ein zu kurzer Schaft eingesetzt worden wäre. Dies ergibt sich - wie die Vorinstanz nachvollziehbar darlegt - auch nicht aus dem von ihm erwähnten Röntgenbild oder aus dem Umstand, dass im Rahmen der Reoperation vom 13. November 2018 angeblich ein längerer Schaft eingesetzt worden ist. Der Vorwurf, die Vorinstanz hätte ohne die beantragte medizinische Begutachtung nicht das Gegenteil annehmen dürfen, läuft von vornherein ins Leere. So scheiterte die von der Opferhilfestelle beabsichtige medizinische Vorabklärung durch die SPO - und damit auch eine gestützt darauf allenfalls veranlasste Begutachtung - gerade an der fehlenden Zustimmung des Beschwerdeführers (vgl. E. 3 hiervor).</w:t>
      </w:r>
    </w:p>
    <w:p>
      <w:r>
        <w:rPr>
          <w:b/>
        </w:rPr>
        <w:t>E. 4.3.3</w:t>
      </w:r>
    </w:p>
    <w:p>
      <w:r>
        <w:t>Die Vorinstanz durfte ausserdem in willkürfreier Beweiswürdigung zum Schluss kommen, dass auch im anschliessenden Verzicht auf eine Zweitoperation keine Sorgfaltspflichtverletzung zu erblicken sei. Nach der Auffassung des Beschwerdeführers soll eine Heilung aufgrund der intraoperativ verursachten Fraktur und der angeblich zu kleinen Prothese ohne Korrekturoperation von vornherein ausgeschlossen gewesen sein. Dies lässt sich allerdings entgegen seinem Vorbringen weder den Ausführungen von Dr. D.________ noch dem von ihm zitierten orthopädischen Lehrbuch entnehmen. Dass die vom Beschwerdeführer eingeholte Zweitmeinung von Dr. D.________ eine Reoperation vorgeschlagen habe, ist - wie die Vorinstanz zutreffend festgehalten hat - noch nicht gleichbedeutend damit, dass das von Dr. B.________ gewählte (konservative) Vorgehen mit einem Fokus auf die Physiotherapie nach dem allgemeinen fachlichen Wissensstand nicht mehr vertretbar erschien. Damit verfängt auch der Einwand des Beschwerdeführers nicht, wonach die nutzlose und schmerzhafte Physiotherapie und Rehabilitation eine (weitere) Körperverletzung darstelle. Deshalb ist nicht zu beanstanden, dass die Vorinstanz offengelassen hat, ob und inwiefern der Beschwerdeführer im Nachgang zur Operation vom 4. Mai 2018 über Alternativen zur konservativen Vorgehensweise informiert worden ist.</w:t>
      </w:r>
    </w:p>
    <w:p>
      <w:r>
        <w:rPr>
          <w:b/>
        </w:rPr>
        <w:t>E. 4.3.4</w:t>
      </w:r>
    </w:p>
    <w:p>
      <w:r>
        <w:t>Zusammenfassend ergibt sich, dass der Vorinstanz keine willkürliche Beweiswürdigung vorgeworfen werden kann. Auch die in diesem Zusammenhang erhobenen Gehörsrügen ( Art. 29 Abs. 2 BV ) erweisen sich als unbegründet.</w:t>
      </w:r>
    </w:p>
    <w:p>
      <w:r>
        <w:rPr>
          <w:b/>
        </w:rPr>
        <w:t>E. 5</w:t>
      </w:r>
    </w:p>
    <w:p>
      <w:r>
        <w:t>Nach dem Gesagten erweist sich die Beschwerde als unbegründet und ist abzuweisen. Es sind keine Gerichtskosten zu erheben ( Art. 30 Abs. 1 OHG ). Das Gesuch des Beschwerdeführers um unentgeltliche Rechtspflege und Verbeiständung für das bundesgerichtliche Verfahren ist gutzuheissen. Die entsprechenden Voraussetzungen sind erfüllt ( Art. 64 Abs. 1 und 2 BGG ). Der Beschwerdeführer ist durch den ihn vertretenden Rechtsanwalt zu verbeiständen und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