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585/2008 vom 14. Mai 2009</w:t>
      </w:r>
    </w:p>
    <w:p>
      <w:r>
        <w:t>Bundesgericht, 2009-05-14, FR</w:t>
      </w:r>
    </w:p>
    <w:p>
      <w:r>
        <w:rPr>
          <w:b/>
        </w:rPr>
        <w:t xml:space="preserve">Quelle: </w:t>
      </w:r>
      <w:r>
        <w:t>https://mcp.opencaselaw.ch/entscheid/bger_1C_585_2008</w:t>
      </w:r>
    </w:p>
    <w:p>
      <w:r>
        <w:t>FR: TF 1C 585/2008 du 14 mai 2009</w:t>
      </w:r>
    </w:p>
    <w:p>
      <w:r>
        <w:t>IT: TF 1C 585/2008 del 14 maggio 2009</w:t>
      </w:r>
    </w:p>
    <w:p>
      <w:pPr>
        <w:pStyle w:val="Heading2"/>
      </w:pPr>
      <w:r>
        <w:t>Regeste</w:t>
      </w:r>
    </w:p>
    <w:p>
      <w:r>
        <w:t>retrait de permis de conduire | Construction des routes et circulation routière</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de trois mois; il a un intérêt digne de protection à son annulation. Il a donc qualité pour recourir au sens de l' art. 89 al. 1 LTF . Les autres conditions de recevabilité du recours sont réunies, de sorte qu'il convient d'entrer en matière.</w:t>
      </w:r>
    </w:p>
    <w:p>
      <w:r>
        <w:rPr>
          <w:b/>
        </w:rPr>
        <w:t>E. 2</w:t>
      </w:r>
    </w:p>
    <w:p>
      <w:r>
        <w:t>Le recourant ne conteste pas avoir commis un excès de vitesse de 31 km/h hors localité. Il estime que compte tenu de l'absence de mise en danger concrète, une infraction grave (art. 16c al. 1 let. a) ou moyennement grave ( art. 16b al. 1 let. a LCR ) ne saurait être retenue en l'espèce.</w:t>
      </w:r>
    </w:p>
    <w:p>
      <w:r>
        <w:rPr>
          <w:b/>
        </w:rPr>
        <w:t>E. 2.1</w:t>
      </w:r>
    </w:p>
    <w:p>
      <w:r>
        <w:t>La LCR distingue les infractions légères, moyennement graves et graves (art. 16a-c LCR). Commet une infraction grave selon l' art. 16c al. 1 let. a LCR la personne qui, en violant gravement les règles de la circulation, met sérieusement en danger la sécurité d'autrui ou en prend le risque. Conformément à l' art. 16c al. 2 let. a LCR , le permis d'élève-conducteur ou le permis de conduire est retiré pour trois mois au minimum après une infraction grave. Si des circonstances telles que la gravité de la faute, les antécédents ou la nécessité professionnelle de conduire un véhicule automobile doivent être prises en compte pour fixer la durée du retrait, la durée minimale ne peut pas être réduite à teneur de l' art. 16 al. 3 LCR .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 ATF 132 II 234 consid. 3.2 p. 238; 124 II 259 consid. 2b p. 262). Il est en revanche de moyenne gravité lorsque le dépassement de la vitesse autorisée est, respectivement, de 21 à 24 km/h ( ATF 126 II 196 consid. 2a p. 199), de 26 à 29 km/h et de 31 à 34 km/h ( ATF 128 II 131 consid. 2a p. 132). Un arrêt récent a confirmé ce système de seuils schématiques arrêtés par la jurisprudence en matière d'excès de vitesse (arrêt 1C_83/2008 du 16 octobre 2008 consid. 2).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 ATF 126 II 196 consid. 2a p. 199; 124 II 97 consid.2c p. 101; 123 II 37 consid. 1f p. 41). L'autorité pourra également renoncer au retrait du permis de conduire en présence de circonstances analogues à celles qui justifient de renoncer à une peine en application de l' art. 54 CP (arrêts 1C_303/2007 du 15 mai 2008 consid. 8.1; 6B_264/2007 du 19 septembre 2007 consid. 3.1; 6A.103/2002 consid. 2.2 in SJ 2003 I p. 287; ATF 128 II 86 consid. 2c p. 88; 126 II 196 consid. 2c p. 200) ou encore des art. 17 ss CP (arrêt 1C_4/2007 du 4 septembre 2007 consid. 2.2). La règle de l' art. 16 al. 3 LCR ,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132 II 234 consid. 2.3 p. 236 s.). Cette volonté d'uniformité, clairement exprimée par le législateur, exclut la possibilité ouverte par la jurisprudence, sous l'ancien droit, de réduire la durée minimale du retrait du permis, voire de renoncer à toute sanction en cas de faute particulièrement peu grave (arrêts 1C_83/ 2008 du 16 octobre 2008 consid. 2.1; 6A.61/2006 du 23 novembre 2006 consid. 4.3 et 4.5 résumés in JdT 2007 I 502).</w:t>
      </w:r>
    </w:p>
    <w:p>
      <w:r>
        <w:rPr>
          <w:b/>
        </w:rPr>
        <w:t>E. 2.2</w:t>
      </w:r>
    </w:p>
    <w:p>
      <w:r>
        <w:t>En l'occurrence, le recourant a commis un excès de vitesse de 31 km/h hors localité. Le dépassement de vitesse constaté constitue objectivement un cas grave au sens de l' art. 16c al. 1 let. a LCR , impliquant un retrait du permis de conduire pour une durée de trois mois. Les circonstances invoquées par le recourant (absence d'antécédents en matière de circulation routière, bonnes conditions de circulation et absence de mise en danger concrète) ne sont pas de celles qui permettraient de s'écarter exceptionnellement du minimum légal au regard de l' art. 16 al. 3 LCR et de considérer le cas comme étant de moyenne gravité au sens de la jurisprudence précitée. Ce grief doit par conséquent être rejeté.</w:t>
      </w:r>
    </w:p>
    <w:p>
      <w:r>
        <w:rPr>
          <w:b/>
        </w:rPr>
        <w:t>E. 3</w:t>
      </w:r>
    </w:p>
    <w:p>
      <w:r>
        <w:t>Le recourant prétend enfin que le Tribunal cantonal n'était pas habilité à s'écarter du jugement pénal qui n'a pas retenu une infraction grave, mais une infraction simple au sens de l' art. 90 ch. 1 LCR .</w:t>
      </w:r>
    </w:p>
    <w:p>
      <w:r>
        <w:rPr>
          <w:b/>
        </w:rPr>
        <w:t>E. 3.1</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 ATF 124 II 103 consid. 1c/bb p. 106 s.; 123 II 97 consid. 3c/aa p. 100; 121 II 214 consid. 3a p. 217 et les arrêts cités). Si les faits retenus au pénal lient donc en principe l'autorité et le juge administratifs, il en va différemment des questions de droit, en particulier de l'appréciation de la faute (arrêt 1C_71/2008 du 31 mars 2008 consid. 2.1) et de la mise en danger.</w:t>
      </w:r>
    </w:p>
    <w:p>
      <w:r>
        <w:rPr>
          <w:b/>
        </w:rPr>
        <w:t>E. 3.2</w:t>
      </w:r>
    </w:p>
    <w:p>
      <w:r>
        <w:t>En l'espèce, en dépassant la vitesse autorisée hors localité de 31 km/h, le recourant a commis une infraction objectivement grave, au sens de la jurisprudence exposée ci-dessus (consid. 2). Quant à l'aspect subjectif, il n'y a pas de circonstances importantes dont le juge pénal aurait une connaissance plus approfondie que l'autorité administrative. L'appréciation juridique ne dépend donc pas étroitement de faits que le juge pénal connaîtrait mieux que l'autorité administrative. Par conséquent, le Service cantonal des automobiles et de la navigation tout comme le Tribunal cantonal étaient libres de procéder à leur propre appréciation juridique des faits pertinents, tels qu'ils résultent du dossier, sans être liés par le jugement pénal.</w:t>
      </w:r>
    </w:p>
    <w:p>
      <w:r>
        <w:rPr>
          <w:b/>
        </w:rPr>
        <w:t>E. 4</w:t>
      </w:r>
    </w:p>
    <w:p>
      <w:r>
        <w:t>Il s'ensuit que le recours est rejeté,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