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1C_583/2023 vom 28. November 2023</w:t>
      </w:r>
    </w:p>
    <w:p>
      <w:r>
        <w:t>Bundesgericht, 2023-11-28, DE</w:t>
      </w:r>
    </w:p>
    <w:p>
      <w:r>
        <w:rPr>
          <w:b/>
        </w:rPr>
        <w:t xml:space="preserve">Quelle: </w:t>
      </w:r>
      <w:r>
        <w:t>https://mcp.opencaselaw.ch/entscheid/bger_1C_583_2023</w:t>
      </w:r>
    </w:p>
    <w:p>
      <w:r>
        <w:t>FR: TF 1C_583/2023 du 28 novembre 2023</w:t>
      </w:r>
    </w:p>
    <w:p>
      <w:r>
        <w:t>IT: TF 1C_583/2023 del 28 novembre 2023</w:t>
      </w:r>
    </w:p>
    <w:p>
      <w:pPr>
        <w:pStyle w:val="Heading2"/>
      </w:pPr>
      <w:r>
        <w:t>Erwägungen</w:t>
      </w:r>
    </w:p>
    <w:p>
      <w:r>
        <w:rPr>
          <w:b/>
        </w:rPr>
        <w:t>E. 1</w:t>
      </w:r>
    </w:p>
    <w:p>
      <w:r>
        <w:t>Mit Verfügung vom 10. Mai 2023 entzog das Strassenverkehrsamt des Kantons Luzern A.________ den Führerausweis und den Lernfahrausweis der Kategorie 121 (berufsmässiger Personentransport) vorsorglich bis zur Abklärung von Ausschlussgründen und machte die Prüfung der Wiedererteilung dieser Ausweise von verschiedenen Bedingungen abhängig, namentlich der Einhaltung einer zwölfmonatigen Alkohol- und Medikamentenabstinenz. Gegen diesen Entscheid gelangte A.________ an das Verwaltungsgericht des Kantons Luzern. Mit Urteil vom 17. Oktober 2023 trat dieses gestützt auf § 195 Abs. 2 des Gesetzes über die Verwaltungsrechtspflege des Kantons Luzern vom 3. Juli 1992 (VRG/LU; SRL Nr. 40) auf die Beschwerde nicht ein, da A.________ innert der nach Abweisung seines Gesuch um unentgeltliche Rechtspflege angesetzten Frist trotz Androhung des Nichteintretens unter Kostenfolge im Säumnisfall den Kostenvorschuss nicht bezahlt habe. Ausserdem auferlegte es ihm Verfahrenskosten von Fr. 200.--.</w:t>
      </w:r>
    </w:p>
    <w:p>
      <w:r>
        <w:rPr>
          <w:b/>
        </w:rPr>
        <w:t>E. 2</w:t>
      </w:r>
    </w:p>
    <w:p>
      <w:r>
        <w:t>Mit Eingabe vom 24. Oktober 2023 erhebt A.________ beim Bundesgericht sinngemäss Beschwerde gegen den Entscheid des Verwaltungsgerichts.</w:t>
      </w:r>
    </w:p>
    <w:p>
      <w:r>
        <w:t>Das Bundesgericht verzichtet auf die Einholung von Vernehmlassungen.</w:t>
      </w:r>
    </w:p>
    <w:p>
      <w:r>
        <w:rPr>
          <w:b/>
        </w:rPr>
        <w:t>E. 3</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Der Beschwerdeführer bringt in seiner auf das angefochtene Urteil geschriebenen, handschriftlichen Beschwerde einzig vor, er sei mit dem Entscheid nicht einverstanden. Zudem verweist er auf die Kopie eines Arztzeugnisses. Inwiefern die Vorinstanz Recht im Sinne von Art. 42 Abs. 2 BGG verletzt haben soll, indem sie mit der erwähnten Begründung auf sein bei ihr eingereichtes Rechtsmittel nicht eingetreten ist, legt er nicht dar. Seine Beschwerde genügt den gesetzlichen Formerfordernissen offensichtlich nicht, weshalb im vereinfachten Verfahren nach Art. 108 Abs. 1 BGG nicht darauf einzutreten ist.</w:t>
      </w:r>
    </w:p>
    <w:p>
      <w:r>
        <w:rPr>
          <w:b/>
        </w:rPr>
        <w:t>E. 4</w:t>
      </w:r>
    </w:p>
    <w:p>
      <w:r>
        <w:t>Bei diesem Verfahrensausgang wäre der Beschwerdeführer an sich kostenpflichtig; auf eine Kostenerhebung kann jedoch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