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582/2020 vom 27. November 2020</w:t>
      </w:r>
    </w:p>
    <w:p>
      <w:r>
        <w:t>Bundesgericht, 2020-11-27, FR</w:t>
      </w:r>
    </w:p>
    <w:p>
      <w:r>
        <w:rPr>
          <w:b/>
        </w:rPr>
        <w:t xml:space="preserve">Quelle: </w:t>
      </w:r>
      <w:r>
        <w:t>https://mcp.opencaselaw.ch/entscheid/bger_1C_582_2020</w:t>
      </w:r>
    </w:p>
    <w:p>
      <w:r>
        <w:t>FR: TF 1C 582/2020 du 27 novembre 2020</w:t>
      </w:r>
    </w:p>
    <w:p>
      <w:r>
        <w:t>IT: TF 1C 582/2020 del 27 novembre 2020</w:t>
      </w:r>
    </w:p>
    <w:p>
      <w:pPr>
        <w:pStyle w:val="Heading2"/>
      </w:pPr>
      <w:r>
        <w:t>Regeste</w:t>
      </w:r>
    </w:p>
    <w:p>
      <w:r>
        <w:t>Entraide judiciaire internationale en matière pénale aux Etats-Unis | Entraide et extradition</w:t>
      </w:r>
    </w:p>
    <w:p>
      <w:pPr>
        <w:pStyle w:val="Heading2"/>
      </w:pPr>
      <w:r>
        <w:t>Erwägungen</w:t>
      </w:r>
    </w:p>
    <w:p>
      <w:r>
        <w:rPr>
          <w:b/>
        </w:rPr>
        <w:t>E. 1</w:t>
      </w:r>
    </w:p>
    <w:p>
      <w:r>
        <w:t>Selon l' art. 84 al. 1 LTF , le recours est recevable à l'encontre d'un arrêt du Tribunal pénal fédéral en matière d'entraide judiciaire internationale si celui-ci a pour objet notamment la transmission de renseignements concernant le domaine secret et s'il concerne un cas particulièrement important. Un cas est particulièrement important notamment lorsqu'il y a des raisons de supposer que la procédure à l'étranger - ou en Suisse ( ATF 145 IV 99 consid. 1.3 p. 105 s.) - viole des principes fondamentaux ou comporte d'autres vices graves ( art. 84 al. 2 LTF ). Le Tribunal fédéral peut aussi être appelé à intervenir lorsqu'il s'agit de trancher une question juridique de principe ou lorsque l'instance précédente s'est écartée de la jurisprudence suivie jusque-là ( ATF 142 IV 250 consid. 1.3 p. 254). Dans le domaine de la "petite entraide", l'existence d'un cas particulièrement important au sens de l' art. 84 al. 2 LTF doit être admise de manière restrictive ( ATF 145 IV 99 consid. 1.2 p. 104 s.). En vertu de l' art. 42 al. 2 LTF , il incombe à la partie recourante de démontrer que les conditions d'entrée en matière posées à l' art. 84 LTF sont réunies.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 p. 106 s.).</w:t>
      </w:r>
    </w:p>
    <w:p>
      <w:r>
        <w:rPr>
          <w:b/>
        </w:rPr>
        <w:t>E. 1.1</w:t>
      </w:r>
    </w:p>
    <w:p>
      <w:r>
        <w:t>La cause porte sur la transmission de documents bancaires, soit des renseignements touchant le domaine secret. Toutefois, compte tenu des faits à l'origine de la demande d'entraide et de la nature de la transmission envisagée (limitée à la documentation relative à des comptes bancaires), le cas ne revêt en soi aucune importance particulière.</w:t>
      </w:r>
    </w:p>
    <w:p>
      <w:r>
        <w:rPr>
          <w:b/>
        </w:rPr>
        <w:t>E. 1.2</w:t>
      </w:r>
    </w:p>
    <w:p>
      <w:r>
        <w:t>La recourante fait valoir à cet égard qu'un cas particulièrement important découlerait du déni de justice formel que constitue la décision d'irrecevabilité rendue à son encontre; elle n'a ainsi pas pu obtenir l'examen de ses griefs, dont la violation du droit d'être entendu invoquée en lien avec la transmission par l'OFJ de documents dont elle n'avait eu connaissance qu'ultérieurement à la décision de clôture (cf. ad ch. 43 ss p. 12 s. et ch. 136 ss p. 29 s. du recours formé devant la Cour des plaintes). Dans la mesure où ce défaut d'examen constitue l'une des conséquences ordinaires d'un prononcé d'irrecevabilité, un cas particulièrement important ne saurait donc résulter de cette seule circonstance. Cela vaut en particulier pour les griefs soulevés dans l'acte commun de recours du 27 novembre 2019 qui concernent tant la recourante que la société E.________; ceux-ci ont été au demeurant écartés par l'autorité précédente (cf. consid. 3, 4 et 5 p. 7 ss de l'arrêt attaqué; voir également l'arrêt 1C_585/2020 rendu ce jour déclarant irrecevable le recours formé séparément par E.________). Une violation grave des droits de procédure ne résulte pas non plus du défaut allégué d'interpellation de la recourante sur sa qualité pour recourir par l'autorité précédente, dès lors qu'une procuration actualisée lui a été demandée au cours de la procédure de recours et que l'ensemble des échanges en lien avec son existence juridique ont été produits par l'OFJ avec ses déterminations, ce qui tend à démontrer que la question pouvait être problématique; à cela s'ajoute le fait que la recourante ne prétend pas avoir ignoré l'existence d'une jurisprudence différente et antérieure du Tribunal pénal fédéral sur cette question (cf. les arrêts cités au consid. 1.4.2.1 p. 6 du jugement entrepris), respectivement celle du Tribunal fédéral reconnaissant à certaines conditions la qualité pour agir de l'ayant droit économique d'une société dissoute et liquidée (cf. ATF 139 II 404 consid. 2.1.1 p. 411 s.; 137 IV 134 consid. 5.2.1 p. 138; arrêt 1C_181/2020 du 17 avril 2020 consid. 1.2 et les arrêts cités; voir également la motivation développée par ses avocats dans le courrier du 23 août 2020 certes en lien avec E.________). Partant, on ne saurait considérer en l'occurrence qu'une violation grave des droits de procédure justifierait l'entrée en matière.</w:t>
      </w:r>
    </w:p>
    <w:p>
      <w:r>
        <w:rPr>
          <w:b/>
        </w:rPr>
        <w:t>E. 1.3</w:t>
      </w:r>
    </w:p>
    <w:p>
      <w:r>
        <w:t>La recourante prétend encore que la présente cause poserait une question juridique de principe sur laquelle le Tribunal fédéral ne se serait pas encore prononcé; il lui appartiendrait ainsi d'examiner si, ainsi qu'elle le soutient, le droit panaméen permettrait le maintien de la personnalité juridique d'une société dissoute pour les trois ans suivant sa dissolution, voire au-delà lorsqu'une procédure la concernant aurait été débutée durant cette période. Selon la recourante, l'autorité précédente ne pouvait donc lui dénier la capacité de recourir le 27 novembre 2019 vu la demande d'entraide formée le 26 mars 2018, soit moins de trois ans après sa dissolution les 15/21 mars 2016. Cela étant, dans l'hypothèse où la thèse avancée par la recourante devrait être suivie, rien ne permet en l'occurrence de considérer que l'examen des griefs soulevés au fond aboutirait à une décision favorable à la recourante par rapport à la demande d'entraide en matière pénale. Elle ne développe d'ailleurs aucune argumentation pour démontrer - même brièvement - qu'en cas d'entrée en matière, l'admission de la violation du droit d'être entendu soulevée devant l'autorité précédente - seul grief a priori la concernant spécifiquement dans le recours du 27 novembre 2019 - aurait pu conduire à un refus de transmission des pièces qui lui ont été adressées ultérieurement à la décision de clôture. La recourante ne prétend pas non plus que la motivation retenue - certes en l'état uniquement vis-à-vis de la société E.________ - ne s'appliquerait pas aussi aux documents encore litigieux la concernant, que ce soit par rapport à la période retenue par l'OFJ à son égard (du 29 août 2014 au 22 mars 2016) ou en raison de leur nature (soit en particulier des documents relatifs à l'identification du compte). Cette constatation semble s'imposer d'autant plus vu le recours commun formé le 27 novembre 2019. En tout état de cause, la recourante ne prétend pas n'avoir pas eu connaissance de ces pièces litigieuses et/ou avoir été privée de faire valoir ses arguments y relatifs devant l'instance précédente (cf. notamment ad ch. 2 p. 3 des observations du 3 février 2020; voir également les arrêts rendus ce jour dans les causes 1C_583/2020 et 1C_585/2020). Faute de démonstration d'un éventuel impact déterminant sur l'issue de la procédure d'entraide, respectivement en l'état sur la pratique en général ( ATF 139 II 404 consid. 1.3 p. 410; arrêt 2C_1037/2019 du 27 août 2020 consid. 1.2), la problématique de la personnalité juridique selon le droit panaméen de la recourante en tant que société dissoute ne constitue pas en l'occurrence une question juridique de principe justifiant l'entrée en matière.</w:t>
      </w:r>
    </w:p>
    <w:p>
      <w:r>
        <w:rPr>
          <w:b/>
        </w:rPr>
        <w:t>E. 2</w:t>
      </w:r>
    </w:p>
    <w:p>
      <w:r>
        <w:t>Il s'ensuit que le recours est irrecevable. 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