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1C_582/2015 vom 10. November 2015</w:t>
      </w:r>
    </w:p>
    <w:p>
      <w:r>
        <w:t>Bundesgericht, 2015-11-10, FR</w:t>
      </w:r>
    </w:p>
    <w:p>
      <w:r>
        <w:rPr>
          <w:b/>
        </w:rPr>
        <w:t xml:space="preserve">Quelle: </w:t>
      </w:r>
      <w:r>
        <w:t>https://mcp.opencaselaw.ch/entscheid/bger_1C_582_2015</w:t>
      </w:r>
    </w:p>
    <w:p>
      <w:r>
        <w:t>FR: TF 1C_582/2015 du 10 novembre 2015</w:t>
      </w:r>
    </w:p>
    <w:p>
      <w:r>
        <w:t>IT: TF 1C_582/2015 del 10 novembre 2015</w:t>
      </w:r>
    </w:p>
    <w:p>
      <w:pPr>
        <w:pStyle w:val="Heading2"/>
      </w:pPr>
      <w:r>
        <w:t>Erwägungen</w:t>
      </w:r>
    </w:p>
    <w:p>
      <w:r>
        <w:rPr>
          <w:b/>
        </w:rPr>
        <w:t>E. 1</w:t>
      </w:r>
    </w:p>
    <w:p>
      <w:r>
        <w:t>Selon les art. 107 al. 3 et 109 al. 1 LTF, la cour siège à trois juges lorsqu'elle refuse d'entrer en matière sur un recours soumis à l'exigence de l' art. 84 LTF .</w:t>
      </w:r>
    </w:p>
    <w:p>
      <w:r>
        <w:rPr>
          <w:b/>
        </w:rPr>
        <w:t>E. 1.1</w:t>
      </w:r>
    </w:p>
    <w:p>
      <w:r>
        <w:t>A teneur de cette disposition, le recours en matière de droit public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renseignements touchant le domaine secret. Toutefois, compte tenu des faits à l'origine de la demande - il ne s'agit en particulier pas de délits politiques ou fiscaux - et de la nature de la transmission envisagée, limitée à un procès-verbal et des documents, le cas ne revêt en soi aucune importance particulière.</w:t>
      </w:r>
    </w:p>
    <w:p>
      <w:r>
        <w:rPr>
          <w:b/>
        </w:rPr>
        <w:t>E. 1.3</w:t>
      </w:r>
    </w:p>
    <w:p>
      <w:r>
        <w:t>La recourante estime que la demande d'entraide constituerait une recherche indéterminée de moyens de preuve. L'enquête viserait des pièces découvertes en 1985/1986, ainsi qu'un acte d'exportation commis en 2009. Or, la documentation réclamée se rapporterait à des pièces provenant du même trésor, mais découvertes en 1957. L'autorité requérante aurait dissimulé le fait qu'elle avait requis l'entraide judiciaire de la part d'autres Etats qui l'avaient refusée. Outre le principe de la bonne foi entre Etats, la recourante invoque les principes de proportionnalité et de non-rétroactivité des lois, le droit français ne s'appliquant pas aux découvertes antérieures à 1962.</w:t>
      </w:r>
    </w:p>
    <w:p>
      <w:r>
        <w:rPr>
          <w:b/>
        </w:rPr>
        <w:t>E. 1.4</w:t>
      </w:r>
    </w:p>
    <w:p>
      <w:r>
        <w:t>La recourante méconnaît que l'entraide judiciaire est régie par le principe de l'utilité potentielle. La question de savoir si les renseignements demandés sont nécessaires ou simplement utiles à la procédure pénale est ainsi laissée à l'appréciation des autorités de poursuite étrangère. La coopération internationale ne peut être refusée que si les actes requis sont manifestement sans rapport avec l'infraction poursuivie et impropres à faire progresser l'enquête, de sorte que la demande apparaît comme le prétexte à une recherche indéterminée de moyens de preuve ( ATF 136 IV 82 consid. 4 p. 85). Il n'est dès lors pas nécessaire de démontrer que les personnes visées par les actes d'entraide seraient des participants aux infractions poursuivies, ni, en l'occurrence, que les pièces d'or vendues aux enchères en seraient le produit. A ce stade, l'entraide ne vise pas une restitution (comme cela était apparemment le cas pour les procédures d'entraide avec d'autres Etats), mais uniquement une transmission de renseignements. L'argument relatif aux tentatives de recouvrement de l'Etat requérant et à la bonne foi de celui-ci apparaît ainsi sans pertinence.</w:t>
      </w:r>
    </w:p>
    <w:p>
      <w:r>
        <w:t>En l'occurrence, l'autorité requérante désire être renseignée sur les pièces mises aux enchères lors d'une vente organisée par la recourante, celle-ci ayant été en outre mentionnée en lien avec certaines monnaies provenant du trésor en question. Il existe à tout le moins un lien suffisant entre l'objet de l'entraide et celui de l'enquête, quand bien même les pièces auraient pu être découvertes antérieurement aux années 1985/1986. L'arrêt attaqué est conforme sur ce point à la pratique constante et il ne se pose aucune question de principe.</w:t>
      </w:r>
    </w:p>
    <w:p>
      <w:r>
        <w:rPr>
          <w:b/>
        </w:rPr>
        <w:t>E. 2</w:t>
      </w:r>
    </w:p>
    <w:p>
      <w:r>
        <w:t>Sur le vu de ce qui précède, le recours est irrecevable.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