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581/2008 vom 18. Mai 2009</w:t>
      </w:r>
    </w:p>
    <w:p>
      <w:r>
        <w:t>Bundesgericht, 2009-05-18, IT</w:t>
      </w:r>
    </w:p>
    <w:p>
      <w:r>
        <w:rPr>
          <w:b/>
        </w:rPr>
        <w:t xml:space="preserve">Quelle: </w:t>
      </w:r>
      <w:r>
        <w:t>https://mcp.opencaselaw.ch/entscheid/bger_1C_581_2008</w:t>
      </w:r>
    </w:p>
    <w:p>
      <w:r>
        <w:t>FR: TF 1C 581/2008 du 18 mai 2009</w:t>
      </w:r>
    </w:p>
    <w:p>
      <w:r>
        <w:t>IT: TF 1C 581/2008 del 18 maggio 2009</w:t>
      </w:r>
    </w:p>
    <w:p>
      <w:pPr>
        <w:pStyle w:val="Heading2"/>
      </w:pPr>
      <w:r>
        <w:t>Regeste</w:t>
      </w:r>
    </w:p>
    <w:p>
      <w:r>
        <w:t>licenza edilizia per la riattivazione di una cava | Pianificazione territoriale e diritto pubblico edilizio</w:t>
      </w:r>
    </w:p>
    <w:p>
      <w:pPr>
        <w:pStyle w:val="Heading2"/>
      </w:pPr>
      <w:r>
        <w:t>Erwägungen</w:t>
      </w:r>
    </w:p>
    <w:p>
      <w:r>
        <w:rPr>
          <w:b/>
        </w:rPr>
        <w:t>E. 4.1</w:t>
      </w:r>
    </w:p>
    <w:p>
      <w:r>
        <w:t>La ricorrente rimprovera alla Corte cantonale di avere negato agli impianti per la lavorazione del materiale estratto la conformità alla zona per attività produttive J2, violando il margine di apprezzamento che spettava all'autorità comunale nell'applicazione del proprio diritto. Sostiene che l'argomento non era stato esplicitamente sollevato dagli opponenti, sicché la sua trattazione violerebbe il principio dell'allegazione e la preminenza del diritto federale. Ritiene inoltre arbitrario e contrario al principio della buona fede pretendere che il materiale, per essere lavorato, venga spostato nella vicina zona industriale J1, posta oltre la linea ferroviaria e la strada cantonale.</w:t>
      </w:r>
    </w:p>
    <w:p>
      <w:r>
        <w:rPr>
          <w:b/>
        </w:rPr>
        <w:t>E. 4.2</w:t>
      </w:r>
    </w:p>
    <w:p>
      <w:r>
        <w:t>Nel gravame presentato in sede cantonale, gli opponenti avevano contestato soprattutto la conformità dell'impianto alla zona delle cave giusta l'art. 23 delle norme di attuazione del piano regolatore comunale (NAPR). Tuttavia, rilevato che la cava sorge a cavallo di due diverse zone e che gli impianti per la lavorazione del materiale estratto sono in particolare situati nella zona per le attività produttive J2 retta dall'art. 29 NAPR, a ragione la Corte cantonale ha esaminato in modo completo il progetto sotto il profilo di entrambe le norme. Essa era in effetti tenuta ad applicare d'ufficio il diritto (cfr. art. 18 cpv. 1 LPamm; BORGHI/ CORTI, op. cit., pag. 90), tanto più che, in concreto, per effetto della trasmissione diretta della causa, ha statuito quale unica istanza di ricorso cantonale (cfr. art. 33 cpv. 2 e 3 LPT ). Per il resto, la ricorrente non si confronta con l'interpretazione dell'art. 29 NAPR compiuta dai giudici cantonali, spiegando, con una motivazione rispettosa degli art. 42 cpv. 2 e 106 cpv. 2 LTF, per quali ragioni sarebbe manifestamente insostenibile. Accennando al potere di apprezzamento che spettava al Comune in virtù della sua autonomia, la ricorrente si limita a criticare semplicemente il fatto che i giudici cantonali non hanno confermato l'opinione municipale. Né essa sostanzia minimamente l'accennata lesione del principio della buona fede.</w:t>
      </w:r>
    </w:p>
    <w:p>
      <w:r>
        <w:rPr>
          <w:b/>
        </w:rPr>
        <w:t>E. 4.3</w:t>
      </w:r>
    </w:p>
    <w:p>
      <w:r>
        <w:t>Giusta l'art. 29 cpv. 1 NAPR, la zona per attività produttive J2 è di principio destinata alle attività produttive (artigianali ed industria leggera), commerciali e di servizio. Fondandosi sul tenore letterale della norma, sulla sua relazione con l'art. 28 NAPR, che disciplina la vicina zona industriale J1 destinata alla produzione ed alle funzioni ad essa connesse, nonché sulla genesi dell'azzonamento, la Corte cantonale ha puntualmente spiegato il contenuto della zona per le attività produttive J2. Ha in particolare rilevato che non si tratta di una zona esclusivamente industriale, ma di una zona mista, nella quale le attività industriali sono ammesse soltanto se rientrano nell'industria leggera. Si tratta al riguardo di quelle attività del settore secondario che generano effetti limitati sull'ambiente e, analogamente alle attività artigianali, possono coesistere con attività lavorative commerciali o di servizio. A ragione la Corte cantonale ha quindi ritenuto che, per le caratteristiche degli impianti e le ripercussioni ambientali provocate, il processo di lavorazione e di movimentazione della roccia estratta non rientra nell'industria leggera, non potendo in particolare coesistere con attività commerciali o di servizio. Ha pertanto rettamente negato la conformità degli impianti litigiosi alla zona per attività produttive J2. L'opinione contraria del Municipio, ribadita nella risposta dinanzi a questa Corte, è oggettivamente insostenibile, già solo in considerazione del tenore letterale dell'art. 29 cpv. 1 NAPR, sicché la Corte cantonale non ha ecceduto nel proprio potere di apprezzamento annullando la licenza edilizia.</w:t>
      </w:r>
    </w:p>
    <w:p>
      <w:r>
        <w:rPr>
          <w:b/>
        </w:rPr>
        <w:t>E. 5.1</w:t>
      </w:r>
    </w:p>
    <w:p>
      <w:r>
        <w:t>Sotto il profilo del diritto sulla protezione dell'ambiente, la ricorrente si limita ad addurre che il progetto è stato sottoposto ad un esame dell'impatto ambientale, che ne attesta la conformità alle prescrizioni vigenti. Rileva inoltre, di essere disposta a sottostare ad ulteriori provvedimenti di protezione che dovessero rivelarsi necessari successivamente.</w:t>
      </w:r>
    </w:p>
    <w:p>
      <w:r>
        <w:rPr>
          <w:b/>
        </w:rPr>
        <w:t>E. 5.2</w:t>
      </w:r>
    </w:p>
    <w:p>
      <w:r>
        <w:t>Al riguardo, la ricorrente non fa tuttavia valere la violazione del diritto federale ( art. 95 lett. a LTF ). In particolare, non sostiene che la Corte cantonale avrebbe violato gli art. 25 LPAmb (RS 814.01) e 7 dell'ordinanza contro l'inquinamento fonico, del 15 dicembre 1986 (OIF; RS 814.41), né contesta che le immissioni foniche prodotte dall'impianto oggetto della domanda di costruzione superano i valori di pianificazione. Misurazioni di controllo dopo la realizzazione o la messa in esercizio dello stabilimento ed eventuali provvedimenti supplementari sono invero di principio possibili. Tuttavia, il principio della prevenzione (cfr. art. 1 cpv. 2 e art. 25 LPAmb ) impone di rilevare le immissioni prevedibili già nella fase della licenza edilizia e di non rimandare a una fase successiva eventuali chiarimenti sugli effetti provocati dall'impianto e sull'adozione di provvedimenti di limitazione delle emissioni foniche (sentenza 1A.58/2002 del 2 settembre 2002 consid. 2.3, in: URP 2002 pag. 685 segg.).</w:t>
      </w:r>
    </w:p>
    <w:p>
      <w:r>
        <w:rPr>
          <w:b/>
        </w:rPr>
        <w:t>E. 6</w:t>
      </w:r>
    </w:p>
    <w:p>
      <w:r>
        <w:t>Ne segue che il ricorso deve essere respinto in quanto ammissibile. Le spese giudiziarie seguono la soccombenza e sono pertanto poste a carico della ricorrente ( art. 66 cpv. 1 LTF ), che è tenuta a versare agli opponenti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