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1C_580/2022 vom 25. April 2023</w:t>
      </w:r>
    </w:p>
    <w:p>
      <w:r>
        <w:t>Bundesgericht, 2023-04-25, DE</w:t>
      </w:r>
    </w:p>
    <w:p>
      <w:r>
        <w:rPr>
          <w:b/>
        </w:rPr>
        <w:t xml:space="preserve">Quelle: </w:t>
      </w:r>
      <w:r>
        <w:t>https://mcp.opencaselaw.ch/entscheid/bger_1C_580_2022</w:t>
      </w:r>
    </w:p>
    <w:p>
      <w:r>
        <w:t>FR: TF 1C_580/2022 du 25 avril 2023</w:t>
      </w:r>
    </w:p>
    <w:p>
      <w:r>
        <w:t>IT: TF 1C_580/2022 del 25 aprile 2023</w:t>
      </w:r>
    </w:p>
    <w:p>
      <w:pPr>
        <w:pStyle w:val="Heading2"/>
      </w:pPr>
      <w:r>
        <w:t>Erwägungen</w:t>
      </w:r>
    </w:p>
    <w:p>
      <w:r>
        <w:rPr>
          <w:b/>
        </w:rPr>
        <w:t>E. 1</w:t>
      </w:r>
    </w:p>
    <w:p>
      <w:r>
        <w:t>Angefochten ist ein kantonal letztinstanzlicher Endentscheid in einer Angelegenheit des öffentlichen Rechts ( Art. 82 lit. a, Art. 86 Abs. 1 lit. d sowie Art. 90 BGG ); ein Ausnahmegrund gemäss Art. 83 BGG ist nicht gegeben. Der Beschwerdeführer hat am vorinstanzlichen Verfahren teilgenommen und ist als unterlegene Partei und Eigentümer des von der Wiederherstellung betroffenen Grundstücks vom angefochtenen Entscheid besonders betroffen und damit zur Beschwerde legitimiert (vgl. Art. 89 Abs. 1 lit. a und b BGG ). Auf die form- und fristgerecht erhobene Beschwerde ist somit einzutreten.</w:t>
      </w:r>
    </w:p>
    <w:p>
      <w:r>
        <w:rPr>
          <w:b/>
        </w:rPr>
        <w:t>E. 2</w:t>
      </w:r>
    </w:p>
    <w:p>
      <w:r>
        <w:t>Gegenstand des vorliegenden Beschwerdeverfahrens bildet die Aufhebung von zwei öffentlichen Parkplätzen (blaue Zone) durch teilweisen Widerruf der mit Entscheid des DBU vom 3. Juli 2014 festgesetzten Verkehrsanordnung. Es steht im Zusammenhang mit dem konnexen Verfahren 1C_581/2022 betreffend die Baubewilligung vom 17. November 2015 bzw. die Herstellung des rechtmässigen Zustands durch die Politische Gemeinde Gottlieben.</w:t>
      </w:r>
    </w:p>
    <w:p>
      <w:r>
        <w:t>Auch wenn beide Verfahren auf demselben Sachverhalt beruhen und inhaltlich auf dasselbe Ergebnis (Aufhebung von zwei öffentlichen Parkplätzen) abzielen, stellen sich doch andere Rechtsfragen. Im vorliegenden Verfahren steht nicht die gerügte Verletzung des Grundsatzes von Treu und Glauben und des Vertrauensschutzes ( Art. 5 Abs. 3 und Art. 9 BV ) im Vordergrund, sondern der Widerruf einer Verkehrsanordnung (vgl. § 23 Abs. 1 des Gesetzes des Kantons Thurgau über die Verwaltungsrechtspflege vom 23. Februar 1981 [VRG/TG; RB 170.1] i.V.m. Art. 107 Abs. 5 der Signalisationsverordnung vom 5. September 1979 [SSV; SR 741.21] ). Sodann unterscheidet sich die Zuständigkeit der verfügenden Behörden. Während für die Herstellung des rechtmässigen und bewilligten Zustands primär die Baubehörde verantwortlich ist, fällt die Aufhebung einer dauernden Verkehrsanordnung namentlich auf den von der vorliegend strittigen Massnahme betroffenen Gemeindestrassen in die Zuständigkeit des DBU (vgl. § 1 Abs. 2 der Verordnung des Regierungsrates des Kantons Thurgau zum Strassenverkehrsgesetz und den Nebenerlassen vom 25. Februar 1997 [RRV SVG und den Nebenerlassen/TG; RB 741.2] in der bis 31. Dezember 2017 gültigen Fassung bzw. § 33 Abs. 2 Ziff. 2 des Gesetzes des Kantons Thurgau über Strassen und Wege vom 14. September 1992 [StrWG/TG; RB 725.1]). Auch die gestellten Anträge in den beiden Beschwerdeverfahren sind nicht deckungsgleich. Vor diesem Hintergrund erscheint es gerechtfertigt, die beiden Verfahren - wie bereits die Vorinstanz - getrennt zu beurteilen.</w:t>
      </w:r>
    </w:p>
    <w:p>
      <w:r>
        <w:rPr>
          <w:b/>
        </w:rPr>
        <w:t>E. 3</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und von kantonalem und interkantonalem Recht gerügt wird ( Art. 106 Abs. 2 BGG ; BGE 142 I 99 E. 1.7.2 mit Hinweisen).</w:t>
      </w:r>
    </w:p>
    <w:p>
      <w:r>
        <w:t>Das Bundesgericht prüft die Anwendung von kantonalem (inklusive kommunalem) Recht (von hier nicht einschlägigen Ausnahmen abgesehen) als solche nicht frei, sondern nur unter dem Blickwinkel der Willkür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Dass eine andere Lösung ebenfalls als vertretbar oder gar zutreffender erscheint, begründet für sich keine Willkür (vgl. BGE 148 III 95 E. 4.1 ; 144 I 113 E. 7.1).</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147 I 73 E. 2.2; 140 III 115 E. 2; je mit Hinweisen). Zur Sachverhaltsfeststellung gehört auch die auf Indizien gestützte Beweiswürdigung. Für entsprechende Rügen gilt eine qualifizierte Rüge- und Begründungspflicht ( Art. 106 Abs. 2 BGG ; BGE 147 I 73 E. 2.2; 141 IV 317 E. 5.4; BGE 140 III 264 E. 2.3 je mit Hinweisen).</w:t>
      </w:r>
    </w:p>
    <w:p>
      <w:r>
        <w:rPr>
          <w:b/>
        </w:rPr>
        <w:t>E. 4</w:t>
      </w:r>
    </w:p>
    <w:p>
      <w:r>
        <w:t>Streitig und zu prüfen ist, ob die Vorinstanz zu Recht davon ausgegangen ist, dass dem Widerruf der Verkehrsanordnung 2014/063/TBA vom 3. Juli 2014 bzw. der Aufhebung von zwei öffentlichen Parkplätzen an der B.________strasse zwecks Ermöglichung einer nördlichen Zufahrt zum Carport auf der Liegenschaft Nr. 51 berechtigterweise nicht stattgegeben worden ist.</w:t>
      </w:r>
    </w:p>
    <w:p>
      <w:r>
        <w:rPr>
          <w:b/>
        </w:rPr>
        <w:t>E. 4.1</w:t>
      </w:r>
    </w:p>
    <w:p>
      <w:r>
        <w:t>Die Einrichtung von öffentlichen Parkplätzen stellt eine funktionelle Verkehrsbeschränkung dar (vgl. BGE 111 IV 87 E. 2). Solche können nach Art. 3 Abs. 4 SVG erlassen werden, soweit der Schutz der Bewohnerinnen und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kann namentlich in Wohnquartieren der Verkehr beschränkt und das Parkieren besonders geregelt werden.</w:t>
      </w:r>
    </w:p>
    <w:p>
      <w:r>
        <w:t>Gemäss Art. 107 Abs. 5 SSV ist bei örtlichen Verkehrsanordnungen auf bestimmten Strassenstrecken diejenige Massnahme zu wählen, die den Zweck mit den geringsten Einschränkungen erreicht. Ändern sich die Voraussetzungen, muss die Behörde die örtliche Verkehrsanordnung überprüfen und gegebenenfalls aufheben.</w:t>
      </w:r>
    </w:p>
    <w:p>
      <w:r>
        <w:t>Gemäss § 23 Abs. 1 VRG/TG kann ein Entscheid durch die Behörde, die ihn gefällt hat, oder durch die Aufsichtsbehörde geändert oder widerrufen werden, sofern wichtige öffentliche Interessen dies erfordern oder sich die Verhältnisse wesentlich geändert haben. Vorbehalten bleiben Entscheide, die gemäss ausdrücklicher Vorschrift oder nach der Natur der Sache nicht zurückgenommen werden können.</w:t>
      </w:r>
    </w:p>
    <w:p>
      <w:r>
        <w:rPr>
          <w:b/>
        </w:rPr>
        <w:t>E. 4.2</w:t>
      </w:r>
    </w:p>
    <w:p>
      <w:r>
        <w:t>Der Beschwerdeführer macht geltend, dass veränderte Verhältnisse aufgrund der ihm rechtskräftig bewilligten nördlichen Zufahrt zu seinem Carport vorliegen würden.</w:t>
      </w:r>
    </w:p>
    <w:p>
      <w:r>
        <w:rPr>
          <w:b/>
        </w:rPr>
        <w:t>E. 4.2.1</w:t>
      </w:r>
    </w:p>
    <w:p>
      <w:r>
        <w:t>Die Vorinstanz ist mit Verweis auf den parallel ergangenen Entscheid im konnexen Beschwerdeverfahren (VB.2021.19) in sachlich vertretbarer Weise davon ausgegangen, eine Nordzufahrt zum Carport sei mit der Baubewilligung vom 7. November 2015 nicht bewilligt bzw. zugesichert worden. Soweit die Einwände des Beschwerdeführers überhaupt hinreichend begründet sind (vgl. E. 3 hiervor), ist nicht ersichtlich, dass die tatsächlichen Feststellungen und die Beweiswürdigung der Vorinstanz offensichtlich unhaltbar bzw. willkürlich sein sollen. Wie im das konnexe Verfahren betreffenden Urteil 1C_581/2022 vom 25. April 2023 in E. 4.3 festgehalten wird, ist die Vorinstanz nicht in Willkür verfallen, indem sie aus den unterschiedlichen Darstellungen der eingezeichneten Personenwagen auf dem ursprünglich eingereichten Erdgeschoss-Plan vom 15. Juli 2015 und dem bewilligten Erdgeschoss-Plan vom 9. September 2015, auf welchem diese kaum mehr erkennbar sind, abgeleitet hat, die beiden Fahrzeuge seien "wegradiert" worden. Der Beschwerdeführer vermag denn auch keine nachvollziehbare Erklärung dafür zu erbringen, weshalb sich die beiden Pläne insoweit unterschieden haben. Es hält vor dem Willkürverbot stand, wenn die Vorinstanz unter diesen Umständen das Vorbringen der Gemeinde, wonach der Beschwerdeführer während des Baubewilligungsverfahrens auf die unzulässige nördliche Zufahrt zum Carport hingewiesen worden sei, für plausibel beurteilt. Die Vorinstanz durfte deshalb willkürfrei davon ausgehen, dass sich die bewilligten Baugesuchspläne diesbezüglich zumindest als ungenau erweisen würden, und diesen Umstand zu Ungunsten des Beschwerdeführers würdigen.</w:t>
      </w:r>
    </w:p>
    <w:p>
      <w:r>
        <w:t>Soweit der Beschwerdeführer aus dem Ausführungsplan vom 21. Februar 2016, auf dem die Stahlstützen des Carports so erstellt wurden, dass eine Zufahrt von Osten möglich ist, etwas zu seinen Gunsten ableiten will, kann ihm nicht gefolgt werden. Im das konnexe Verfahren betreffenden Urteil 1C_581/2022 vom 25. April 2023 in E. 4.3 wird festgehalten, dass die Vorinstanz nicht in Willkür verfallen ist, indem sie das Vorbringen des Beschwerdeführers, wonach es sich bei der tatsächlich realisierten Ausführung lediglich um eine Übergangslösung gehandelt habe, als nicht plausibel erachtete.</w:t>
      </w:r>
    </w:p>
    <w:p>
      <w:r>
        <w:rPr>
          <w:b/>
        </w:rPr>
        <w:t>E. 4.2.2</w:t>
      </w:r>
    </w:p>
    <w:p>
      <w:r>
        <w:t>Nach dem Gesagten durfte die Vorinstanz somit davon ausgehen, dass keine (wesentlich) veränderten Verhältnisse vorgelegen haben, die einen teilweisen Widerruf der Verkehrsanordnung rechtfertigen würden (vgl. Art. 107 Abs. 5 Satz 2 SSV und § 23 Abs. 1 VRG/TG).</w:t>
      </w:r>
    </w:p>
    <w:p>
      <w:r>
        <w:rPr>
          <w:b/>
        </w:rPr>
        <w:t>E. 4.3</w:t>
      </w:r>
    </w:p>
    <w:p>
      <w:r>
        <w:t>Es ist auch nicht zu beanstanden, dass die Vorinstanz das öffentliche Interesse an der Beibehaltung der beiden Parkplätze in der blauen Zone höher gewichtete als das private Interesse des Beschwerdeführers an der Gewährleistung einer nördlichen Zufahrt zum Carport.</w:t>
      </w:r>
    </w:p>
    <w:p>
      <w:r>
        <w:rPr>
          <w:b/>
        </w:rPr>
        <w:t>E. 4.3.1</w:t>
      </w:r>
    </w:p>
    <w:p>
      <w:r>
        <w:t>Die Vorinstanz begründet das öffentliches Interesse an der Bereitstellung von öffentlichem Parkierungsraum bzw. der Beibehaltung der beiden Parkplätze in der blauen Zone damit, dass öffentliche Parkplätze in der Politischen Gemeinde Gottlieben "Mangelware" darstellten. Inwieweit diese Sachverhaltsfeststellung offensichtlich unhaltbar bzw. willkürlich sein soll, legt der Beschwerdeführer nicht dar. Indem er neuerlich Gegenteiliges behauptet, wiederholt er lediglich die bereits im vorinstanzlichen Verfahren vorgebrachten Argumente, ohne sich im Einzelnen mit den Ausführungen der Vorinstanz auseinanderzusetzen. Das Vorbringen des Beschwerdeführers, es bestehe ein öffentliches Interesse an der Aufhebung der öffentlichen Parkplätze, da diese am aktuellen Standort zu einer Missachtung der Verkehrsvorschriften, insbesondere des beidseitigen Fahrverbots im Bereich seines Wohnhauses, führen würden, hat die Vorinstanz bereits im angefochtenen Entscheid schlüssig entkräftet. Die Behauptung des Beschwerdeführers, wonach die Vorinstanz mit keinem Wort auf seine diesbezüglichen Vorbringen eingegangen sei, ist unzutreffend.</w:t>
      </w:r>
    </w:p>
    <w:p>
      <w:r>
        <w:t>Im Übrigen begnügt sich der Beschwerdeführer damit, vorzubringen, in der näheren Umgebung seien genügend alternative Standorte für Parkfelder vorhanden, die verkehrstechnisch als geeigneter zu beurteilen wären. Er zeigt jedoch weder in konkreter Weise einen geeigneten Ersatzstandort auf, noch legt er in einer den Begründungs- und Rügeanforderungen rechtsgenüglicher Weise ( Art. 106 Abs. 2 BGG ) dar, inwiefern die diesbezüglich gegenteiligen Sachverhaltsfeststellungen der Vorinstanz offensichtlich unhaltbar sein sollen. Es genügt vor Bundesgericht nicht, nur die eigenen abweichenden Einschätzungen den tatsächlichen Feststellungen der Vorinstanz gegenüberzustellen; es bedarf vielmehr einer substanziierten Auseinandersetzung mit den vorinstanzlichen Erwägungen.</w:t>
      </w:r>
    </w:p>
    <w:p>
      <w:r>
        <w:rPr>
          <w:b/>
        </w:rPr>
        <w:t>E. 4.3.2</w:t>
      </w:r>
    </w:p>
    <w:p>
      <w:r>
        <w:t>Die Vorinstanz relativierte zudem das private Interesse des Beschwerdeführers an der Gewährleistung einer nördlichen Zufahrt zum Carport mit der Begründung, dass die Nutzung des Carports mit einer Zufahrt von Osten her ohne Weiteres möglich sei. Dies habe sich sowohl anlässlich des vorinstanzlichen Augenscheins vom 28. November 2019 vor der DBU als auch anlässlich des verwaltungsgerichtlichen Augenscheins vom 29. Juni 2022 gezeigt. Der Beschwerdeführer vermag auch in diesem Zusammenhang nicht rechtsgenüglich aufzuzeigen, inwieweit die diesbezüglichen Sachverhaltsfeststellungen offensichtlich unrichtig oder rechtsverletzend sein sollten (vgl. Art. 97 Abs. 1 BGG ). Er wiederholt lediglich das bereits im vorinstanzlichen Verfahren vorgebrachte Argument, dass durch die Zufahrt von Osten nicht zwei grössere Fahrzeuge im Carport abgestellt werden könnten, ohne dies näher zu begründen. Damit kommt der Beschwerdeführer seiner qualifizierten Rüge- und Begründungspflicht nicht nach ( Art. 106 Abs. 2 BGG ).</w:t>
      </w:r>
    </w:p>
    <w:p>
      <w:r>
        <w:rPr>
          <w:b/>
        </w:rPr>
        <w:t>E. 5</w:t>
      </w:r>
    </w:p>
    <w:p>
      <w:r>
        <w:t>Der Beschwerdeführer rügt weiter eine Verletzung der Eigentumsgarantie und einen Verstoss gegen Treu und Glauben infolge eines faktischen bzw. "versteckten" Widerrufs der Baubewilligung. Beide Rügen setzen voraus, dass mit der Baubewilligung eine Nordzufahrt zum Carport bewilligt worden wäre. Da dies gemäss willkürfreier Feststellung der Vorinstanz aber gerade nicht der Fall ist (vgl. E. 4.2.1 hiervor und Urteil 1C_581/2022 vom 25. April 2023 E. 4.3), ist auf diese Rügen nicht weiter einzugehen. Im Übrigen beziehen sich die Vorbringen des Beschwerdeführers auf das Baubewilligungsverfahren bzw. die von der Politischen Gemeinde Gottlieben verweigerte Herstellung des vermeintlich bewilligten Zustands (vgl. Gegenstand des konnexen Verfahrens 1C_581/2022) und liegen somit ohnehin ausserhalb des vorliegenden Streitgegenstands.</w:t>
      </w:r>
    </w:p>
    <w:p>
      <w:r>
        <w:rPr>
          <w:b/>
        </w:rPr>
        <w:t>E. 6</w:t>
      </w:r>
    </w:p>
    <w:p>
      <w:r>
        <w:t>Nach dem Dargelegten ist die Beschwerde abzuweisen. Bei diesem Ausgang des Verfahrens wird der Beschwerdeführer kostenpflichtig ( Art. 66 Abs. 1 BGG ). Den in ihrem amtlichen Wirkungskreis obsiegenden Behörden steht keine Parteientschädigung zu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