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1C_580/2021 vom 17. Juni 2022</w:t>
      </w:r>
    </w:p>
    <w:p>
      <w:r>
        <w:t>Bundesgericht, 2022-06-17, DE</w:t>
      </w:r>
    </w:p>
    <w:p>
      <w:r>
        <w:rPr>
          <w:b/>
        </w:rPr>
        <w:t xml:space="preserve">Quelle: </w:t>
      </w:r>
      <w:r>
        <w:t>https://mcp.opencaselaw.ch/entscheid/bger_1C_580_2021</w:t>
      </w:r>
    </w:p>
    <w:p>
      <w:r>
        <w:t>FR: TF 1C_580/2021 du 17 juin 2022</w:t>
      </w:r>
    </w:p>
    <w:p>
      <w:r>
        <w:t>IT: TF 1C_580/2021 del 17 giugno 2022</w:t>
      </w:r>
    </w:p>
    <w:p>
      <w:pPr>
        <w:pStyle w:val="Heading2"/>
      </w:pPr>
      <w:r>
        <w:t>Erwägungen</w:t>
      </w:r>
    </w:p>
    <w:p>
      <w:r>
        <w:rPr>
          <w:b/>
        </w:rPr>
        <w:t>E. 4</w:t>
      </w:r>
    </w:p>
    <w:p>
      <w:r>
        <w:t>Demnach ist die Beschwerde abzuweisen, soweit darauf eingetreten werden kann. Bei diesem Verfahrensausgang hat der unterliegende Beschwerdeführer die Gerichtskosten zu tragen (vgl. Art. 66 Abs. 1, Art. 65 BGG ). Parteientschädigungen sind nicht geschuldet (vgl. Art. 68 Abs. 1, Abs. 3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