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1C_580/2017 vom 1. Oktober 2018</w:t>
      </w:r>
    </w:p>
    <w:p>
      <w:r>
        <w:t>Bundesgericht, 2018-10-01, FR</w:t>
      </w:r>
    </w:p>
    <w:p>
      <w:r>
        <w:rPr>
          <w:b/>
        </w:rPr>
        <w:t xml:space="preserve">Quelle: </w:t>
      </w:r>
      <w:r>
        <w:t>https://mcp.opencaselaw.ch/entscheid/bger_1C_580_2017</w:t>
      </w:r>
    </w:p>
    <w:p>
      <w:r>
        <w:t>FR: TF 1C_580/2017 du 1 octobre 2018</w:t>
      </w:r>
    </w:p>
    <w:p>
      <w:r>
        <w:t>IT: TF 1C_580/2017 del 1 ottobre 2018</w:t>
      </w:r>
    </w:p>
    <w:p>
      <w:pPr>
        <w:pStyle w:val="Heading2"/>
      </w:pPr>
      <w:r>
        <w:t>Erwägungen</w:t>
      </w:r>
    </w:p>
    <w:p>
      <w:r>
        <w:rPr>
          <w:b/>
        </w:rPr>
        <w:t>E. 1</w:t>
      </w:r>
    </w:p>
    <w:p>
      <w:r>
        <w:t>La voie du recours en matière de droit public, au sens des art. 82 ss LTF , est en principe ouverte contre une décision de dernière instance cantonale ( art. 86 al. 1 let . d LTF) au sujet d'une mesure administrative de retrait du permis de conduire ( art. 82 let. a LTF ), aucune des exceptions mentionnées à l' art. 83 LTF n'étant réalisée. Le recourant est particulièrement atteint par l'arrêt attaqué qui confirme le retrait de son permis de conduire pour une durée de six mois; il a un intérêt digne de protection à son annulation ( art. 89 al. 1 LTF ). Le recours a en outre été déposé en temps utile et dans les formes requises.</w:t>
      </w:r>
    </w:p>
    <w:p>
      <w:r>
        <w:rPr>
          <w:b/>
        </w:rPr>
        <w:t>E. 2</w:t>
      </w:r>
    </w:p>
    <w:p>
      <w:r>
        <w:t>Dans son écriture, tout en admettant expressément que l'autorité administrative était fondée - sur la base des faits établis par la procédure pénale - à retenir qu'il avait commis une infraction grave, le recourant affirme que, contrairement à l'avis des juges précédents, la mise en danger occasionnée par l'infraction qui lui est reprochée était quasi nulle, remettant ainsi en cause implicitement la gravité de l'infraction du 28 mai 2014.</w:t>
      </w:r>
    </w:p>
    <w:p>
      <w:r>
        <w:rPr>
          <w:b/>
        </w:rPr>
        <w:t>E. 2.1</w:t>
      </w:r>
    </w:p>
    <w:p>
      <w:r>
        <w:t>Commet une infraction grave selon l' art. 16c al. 1 let. a LCR la personne qui, en violant gravement les règles de la circulation, met sérieusement en danger la sécurité d'autrui ou en prend le risque. Conformément à l' art. 16c al. 2 let. b LCR , après une infraction grave le permis de conduire est retiré pour six mois au minimum si, au cours des cinq années précédentes, le permis a été retiré une fois en raison d'une infraction moyennement grave.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t>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3.1. et 3.2 p. 237 s. et les arrêts cités).</w:t>
      </w:r>
    </w:p>
    <w:p>
      <w:r>
        <w:t>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 art. 16 al. 3 LCR ).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 ATF 126 II 196 consid. 2a p. 199 et l'arrêt cité).</w:t>
      </w:r>
    </w:p>
    <w:p>
      <w:r>
        <w:rPr>
          <w:b/>
        </w:rPr>
        <w:t>E. 2.2</w:t>
      </w:r>
    </w:p>
    <w:p>
      <w:r>
        <w:t>En l'espèce, selon les faits établis au pénal - dont il n'y a pas lieu de s'écarter - le recourant a commis un excès de vitesse de 32 km/h sur un tronçon limité à 80 km/h, ce qui est objectivement constitutif, en application de la jurisprudence susmentionnée, d'une infraction grave ( art. 16c al. 1 let. a LCR ). Le recourant n'invoque aucun élément qui permettrait de considérer le cas comme étant de moindre gravité, ce d'autant moins qu'il conduisait en état d'ébriété.</w:t>
      </w:r>
    </w:p>
    <w:p>
      <w:r>
        <w:rPr>
          <w:b/>
        </w:rPr>
        <w:t>E. 3</w:t>
      </w:r>
    </w:p>
    <w:p>
      <w:r>
        <w:t>Dans son grief principal, le recourant affirme que le délai de récidive de cinq ans prévu par l' art. 16c al. 2 let. b LCR commencerait à courir dès la commission de l'infraction précédente, soit en l'occurrence le 20 août 2008; or plus de 5 ans et 9 mois se seraient écoulés entre cette infraction moyennement grave et l'infraction grave du 28 mai 2014, à l'origine du présent retrait. Il estime que la jurisprudence actuelle en matière de calcul des délais dans le système de cascade des sanctions prévu par les art. 16 ss LCR serait contraire à la volonté du législateur. Le fait de prendre le dernier jour de l'exécution du précédent retrait de permis de conduire comme date de départ pour une période probatoire serait en outre illogique, discriminatoire et contraire à l'égalité de traitement entre les différents usagers de la route. Le recourant conclut au prononcé d'un retrait de permis d'une durée de trois mois, en application de l' art. 16c al. 2 let. a LCR .</w:t>
      </w:r>
    </w:p>
    <w:p>
      <w:r>
        <w:rPr>
          <w:b/>
        </w:rPr>
        <w:t>E. 3.1</w:t>
      </w:r>
    </w:p>
    <w:p>
      <w:r>
        <w:t>Selon une jurisprudence constante en matière de circulation routière, les délais de récidive (ou délais d'épreuve; cf. Message du Conseil fédéral du 31 mars 1999 concernant la modification de la LCR, FF 1999 IV 4106, spéc. 4135) prévus par les art. 16a à c LCR commencent à courir à la fin de l'exécution d'un précédent retrait de permis (cf. ATF 136 II 447 consid. 5.3 p. 455 s.; arrêts 1C_520/2013 du 17 septembre 2013 consid. 2 et 3; 1C_452/2011 du 21 août 2012 consid. 3.8; 1C_180/2010 du 22 septembre 2010 consid. 2; CÉDRIC MIZEL, Droit et pratique illustrée du retrait du permis de conduire, 2015, n. 79.3 p. 600 s.; BUSSY/RUSCONI/JEANNERET/KUHN/MIZEL/MÜLLER, Code suisse de la circulation routière commenté, 4e éd. 2015, n. 4.3 ad intro art. 16 ss LCR ).</w:t>
      </w:r>
    </w:p>
    <w:p>
      <w:r>
        <w:t>Le recourant ne développe en l'occurrence aucune argumentation qui justifierait de remettre en cause cette jurisprudence et de prendre comme point de départ du délai de récidive le jour de l'infraction à la circulation routière. Il affirme en particulier à tort que l' art. 16c al. 2 let. b LCR n'aurait pas repris la solution prévalant sous l'ancien droit, en se référant au texte de l' art. 17 al. 1 let . c aLCR qui évoquait expressément " l'expiration du dernier retrait " comme point de départ du délai de récidive. Le Tribunal fédéral a en effet déjà eu l'occasion de préciser que les dispositions actuelles relatives au retrait du permis, modifiées par la loi fédérale du 14 décembre 2001 et en vigueur depuis le 1er janvier 2005 (RO 2002 p. 2767, 2004 p. 2849), n'avaient pas introduit de changement quant au point de départ du calcul du délai ( ATF 136 II 447 consid. 5.3 p. 455 ss; cf. également arrêts 1C_89/2017 du 22 décembre 2017 consid. 2.4.2; 1C_731/2013 du 10 décembre 2013 consid. 3.4; 1C_180/2010 du 22 septembre 2010 consid. 2.3; MIZEL, op. cit., n. 79.3 p. 600 s. et les réf. cit.). L'interprétation préconisée par le recourant apparaît contraire au texte même de l' art. 16c al. 2 let. b LCR qui se réfère à une mesure de retrait exécutée (" le permis a été retiré "; cf. arrêt 1C_520/2013 du 17 septembre 2013 consid. 3.2; cf. également ATF 141 II 220 consid. 3.3.2 p. 225). Le recourant méconnaît par ailleurs que l'intention du législateur, avec cette modification de la LCR, était de sanctionner plus sévèrement les conducteurs récidivistes et de rallonger la durée du délai d'épreuve pour les infractions graves (cf. FF 1999 IV 4108 et et 4135).</w:t>
      </w:r>
    </w:p>
    <w:p>
      <w:r>
        <w:rPr>
          <w:b/>
        </w:rPr>
        <w:t>E. 3.2</w:t>
      </w:r>
    </w:p>
    <w:p>
      <w:r>
        <w:t>En l'occurrence, l'infraction grave commise le 28 mai 2014 est intervenue moins de cinq ans après l'échéance d'un précédent retrait de permis en raison d'une infraction moyennement grave. Conformément à l' art. 16c al. 2 let. b LCR , la durée du retrait du permis de conduire est donc de six mois au minimum. La cour cantonale s'en est tenue à cette durée minimale - qui ne peut pas être réduite - et son arrêt n'est dès lors pas critiquable.</w:t>
      </w:r>
    </w:p>
    <w:p>
      <w:r>
        <w:rPr>
          <w:b/>
        </w:rPr>
        <w:t>E. 4</w:t>
      </w:r>
    </w:p>
    <w:p>
      <w:r>
        <w:t>Au vu de ce qui précède, le recours est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