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1C_579/2016 vom 7. März 2017</w:t>
      </w:r>
    </w:p>
    <w:p>
      <w:r>
        <w:t>Bundesgericht, 2017-03-07, FR</w:t>
      </w:r>
    </w:p>
    <w:p>
      <w:r>
        <w:rPr>
          <w:b/>
        </w:rPr>
        <w:t xml:space="preserve">Quelle: </w:t>
      </w:r>
      <w:r>
        <w:t>https://mcp.opencaselaw.ch/entscheid/bger_1C_579_2016</w:t>
      </w:r>
    </w:p>
    <w:p>
      <w:r>
        <w:t>FR: TF 1C_579/2016 du 7 mars 2017</w:t>
      </w:r>
    </w:p>
    <w:p>
      <w:r>
        <w:t>IT: TF 1C_579/2016 del 7 marzo 2017</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de retrait du permis de conduire ( art. 82 let. a LTF ). Déposé en temps utile ( art. 100 al. 1 LTF ) par la destinataire de l'arrêt attaqué qui a un intérêt digne de protection à l'annulation de celui-ci ( art. 89 al. 1 LTF ), le présent recours est recevable.</w:t>
      </w:r>
    </w:p>
    <w:p>
      <w:r>
        <w:rPr>
          <w:b/>
        </w:rPr>
        <w:t>E. 2</w:t>
      </w:r>
    </w:p>
    <w:p>
      <w:r>
        <w:t>La recourante se plaint d'une violation du principe de l'interdiction de l'arbitraire dans l'établissement des faits et l'application du droit cantonal. Elle n'expose toutefois pas quels faits retenus par la cour cantonale elle entend contester, son argumentation étant uniquement dirigée contre l'appréciation juridique des faits à laquelle se sont livrés les premiers juges.</w:t>
      </w:r>
    </w:p>
    <w:p>
      <w:r>
        <w:rPr>
          <w:b/>
        </w:rPr>
        <w:t>E. 2.1</w:t>
      </w:r>
    </w:p>
    <w:p>
      <w:r>
        <w:t>Sous réserve des cas visés à l' art. 95 let . c à e LTF, la violation du droit cantonal ou communal ne constitue pas un motif de recours. Il est néanmoins possible de faire valoir que l'application des dispositions cantonales consacre une violation d'une norme de droit fédéral au sens de l' art. 95 let. a LTF , telle que l' art. 9 Cst. garantissant la protection contre l'arbitraire ( ATF 138 V 67 consid. 2.2 p. 69; 134 II 349 consid. 3 p. 351).</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Les griefs de violation du droit cantonal sont soumis à des exigences de motivation accrues ( art. 106 al. 2 LTF ).</w:t>
      </w:r>
    </w:p>
    <w:p>
      <w:r>
        <w:rPr>
          <w:b/>
        </w:rPr>
        <w:t>E. 2.2</w:t>
      </w:r>
    </w:p>
    <w:p>
      <w:r>
        <w:t>En l'espèce, dans une argumentation peu étayée, la recourante reproche à la cour cantonale de ne pas avoir constaté l'usage genevois qui permettrait au SCV de "suspendre une décision". Elle se contente toutefois d'affirmer qu'un tel usage ressort du dossier sans en démontrer l'existence. Purement appellatoire, cet argument doit être écarté.</w:t>
      </w:r>
    </w:p>
    <w:p>
      <w:r>
        <w:t>Toujours très succinctement, la recourante énumère différents points qu'elle estime que la cour cantonale aurait à tort négligé de prendre en considération. Selon elle, les juges cantonaux auraient dû analyser les effets de l'acte du 19 janvier 2016 sur celui du 11 décembre 2014, examiner si l'acte du 19 janvier 2016 était une nouvelle décision et déterminer si l'envoi de l'acte du 19 janvier 2016 équivalait à une nouvelle notification de la décision du 11 décembre 2014. La recourante n'expose toutefois pas en quoi le raisonnement de la cour cantonale serait entaché d'arbitraire. Elle se contente d'énumérer les points qu'elle aurait voulu voir examinés sans en indiquer les raisons. Elle ne fait au demeurant valoir aucune violation de son droit d'être entendue faute d'examen d'un ou plusieurs griefs. La motivation de ces allégations est par conséquent insuffisante.</w:t>
      </w:r>
    </w:p>
    <w:p>
      <w:r>
        <w:t>La recourante se réfère enfin à la position des autorités administratives et judiciaire de première instance pour faire valoir que le délai de recours avait bien été tenu pour suspendu. Or, la seule opinion des instances précédentes ne saurait constituer un quelconque moyen de preuve, l'autorité de recours étant précisément amenée à en contrôler le bien-fondé en toute indépendance. On pourrait certes se demander si l'acceptation par actes concluants du SCV de surseoir à sa décision dans l'attente de la fin de la procédure pénale ne signifie pas une entrée en matière sur une demande de réexamen, à l'issue duquel une nouvelle décision, ouvrant une nouvelle voie de recours, serait rendue (cf. MOOR/POLTIER, Droit administratif, vol. II, 3e éd. 2011, p. 403). La recourante ne le fait toutefois pas valoir ( art. 106 al. 2 LTF ). Comme on l'a indiqué ci-dessus, elle se contente d'alléguer en une phrase que "la Cour [cantonale] ne s'est pas posé la question de savoir si la décision du 19 janvier 2016 était une nouvelle décision au sens de l' art. 4 LPA ". Dans ces conditions, la question de savoir si l'acte du 19 janvier 2016 était une nouvelle décision prise sur réexamen peut demeurer indécise.</w:t>
      </w:r>
    </w:p>
    <w:p>
      <w:r>
        <w:rPr>
          <w:b/>
        </w:rPr>
        <w:t>E. 3</w:t>
      </w:r>
    </w:p>
    <w:p>
      <w:r>
        <w:t>Dans un grief distinct, la recourante fait encore valoir une violation du principe de l'économie de procédure.</w:t>
      </w:r>
    </w:p>
    <w:p>
      <w:r>
        <w:t>L'économie de procédure est une maxime dans la gestion de la justice, et non d'un impératif de l'ordre juridique (MOOR/POLTIER, op. cit., p. 265). Le juge dispose en effet d'une importante marge de manoeuvre quant à savoir ce que lui dicte l'économie de procédure (BÉAT BRÄNDLI, Eine Kurze Einführung in die Prozessökonomie, Revue suisse de droit de procédure civile et d'exécution forcée, 2013, p. 249).</w:t>
      </w:r>
    </w:p>
    <w:p>
      <w:r>
        <w:t>Aussi, outre qu'il est manifeste qu'attendre de l'administré qu'il fasse usage d'une voie de droit afin de sauvegarder ses droits ne contrevient pas aux règles de l'économie de procédure, le grief apparaît insuffisamment motivé, la recourante n'exposant pas quelle règle de droit aurait selon elle été violée. Supposé recevable, ce qui est douteux, le grief devait quoi qu'il en soit être écarté.</w:t>
      </w:r>
    </w:p>
    <w:p>
      <w:r>
        <w:rPr>
          <w:b/>
        </w:rPr>
        <w:t>E. 4</w:t>
      </w:r>
    </w:p>
    <w:p>
      <w:r>
        <w:t>Il résulte de ce qui précède que le recours doit être rejeté dans la mesure de sa recevabilité, aux frais de son auteure,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