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578/2014 vom 3. September 2015</w:t>
      </w:r>
    </w:p>
    <w:p>
      <w:r>
        <w:t>Bundesgericht, 2015-09-03, DE</w:t>
      </w:r>
    </w:p>
    <w:p>
      <w:r>
        <w:rPr>
          <w:b/>
        </w:rPr>
        <w:t xml:space="preserve">Quelle: </w:t>
      </w:r>
      <w:r>
        <w:t>https://mcp.opencaselaw.ch/entscheid/bger_1C_578_2014</w:t>
      </w:r>
    </w:p>
    <w:p>
      <w:r>
        <w:t>FR: TF 1C 578/2014 du 3 septembre 2015</w:t>
      </w:r>
    </w:p>
    <w:p>
      <w:r>
        <w:t>IT: TF 1C 578/2014 del 3 settembre 2015</w:t>
      </w:r>
    </w:p>
    <w:p>
      <w:pPr>
        <w:pStyle w:val="Heading2"/>
      </w:pPr>
      <w:r>
        <w:t>Regeste</w:t>
      </w:r>
    </w:p>
    <w:p>
      <w:r>
        <w:t>Bauten ausserhalb der Bauzone | Raumplanung und öffentliches Baurecht</w:t>
      </w:r>
    </w:p>
    <w:p>
      <w:pPr>
        <w:pStyle w:val="Heading2"/>
      </w:pPr>
      <w:r>
        <w:t>Erwägungen</w:t>
      </w:r>
    </w:p>
    <w:p>
      <w:r>
        <w:rPr>
          <w:b/>
        </w:rPr>
        <w:t>E. 1</w:t>
      </w:r>
    </w:p>
    <w:p>
      <w:r>
        <w:t>Der angefochtene, kantonal letztinstanzliche Entscheid des Verwaltungsgerichts betrifft eine öffentlich-rechtliche Angelegenheit ( Art. 82 lit. a BGG ), in der die Beschwerde ans Bundesgericht im Grundsatz offen steht ( Art. 83 BGG ).</w:t>
      </w:r>
    </w:p>
    <w:p>
      <w:r>
        <w:rPr>
          <w:b/>
        </w:rPr>
        <w:t>E. 2</w:t>
      </w:r>
    </w:p>
    <w:p>
      <w:r>
        <w:t>Die Beschwerdegegnerin 1 bestreitet das aktuelle Rechtsschutzinteresse des Beschwerdeführers ( Art. 89 Abs. 1 lit. c BGG ), weil die Verfügung vom 9. Juli 2013 lediglich vorläufige Massnahmen für die Wintersaison 2013/2014 betroffen habe und mit Verfügung vom 12. August 2014 durch definitive Massnahmen ersetzt worden sei. Der Beschwerdeführer macht dagegen geltend, der Kleine Landrat habe bereits in der Verfügung vom 9. Juli 2013 seinen Antrag auf eine raumplanungsrechtlich begründete Einschränkung der Betriebszeiten auf spätestens 19.00 Uhr definitiv abgewiesen. Das Verwaltungsgericht habe sich mit diesen Erwägungen zu Unrecht nicht auseinandergesetzt und habe damit eine formelle Rechtsverweigerung begangen.</w:t>
      </w:r>
    </w:p>
    <w:p>
      <w:r>
        <w:rPr>
          <w:b/>
        </w:rPr>
        <w:t>E. 2.1</w:t>
      </w:r>
    </w:p>
    <w:p>
      <w:r>
        <w:t>Der Beschluss 2013 des Kleinen Landrats betrifft "vorläufige Massnahmen" für die Wintersaison 2013/2014 (Dispositiv-Ziff. 1); für den Zeitraum danach werden definitive Massnahmen angekündigt (Dispositiv-Ziff. 2). Der Beschwerdeführer hat sich mit den vorläufigen Lärmschutzmassnahmen ausdrücklich einverstanden erklärt und ist insoweit nicht beschwert; im Übrigen sind diese vorläufigen Massnahmen zwischenzeitlich durch definitive Massnahmen ersetzt worden, weshalb auch kein aktuelles Rechtsschutzinteresse mehr besteht.</w:t>
      </w:r>
    </w:p>
    <w:p>
      <w:r>
        <w:rPr>
          <w:b/>
        </w:rPr>
        <w:t>E. 2.2</w:t>
      </w:r>
    </w:p>
    <w:p>
      <w:r>
        <w:t>In den Erwägungen des Beschlusses vom 9. Juli 2013 befasste sich der Kleine Landrat aber auch mit den raumplanerischen Aspekten des Betriebs (E. 3-6) : Er kam zum Ergebnis, dass die Öffnung des Restaurants bis 23 Uhr (bzw. 24 Uhr an Wochenenden) den Rahmen der Standortgebundenheit sprenge, sich die Beschwerdegegnerin 1 und der Beschwerdegegner 2 aber diesbezüglich auf die Rechtskraft der bestehenden Bewilligungen berufen könnten. Im Beschluss vom 12. August 2014 (S. 3 oben) verwies der Kleine Landrat auf diese Erwägungen und befasste sich deshalb nur noch mit der Frage, ob und inwieweit Einschränkungen der Betriebszeiten aus Gründen des Lärmschutzes geboten seien. Ob aufgrund dieser raumplanerischen Erwägungen ein aktuelles Rechtsschutzinteresse des Beschwerdeführers besteht, kann offenbleiben: Wie im Folgenden darzulegen sein wird, handelt es sich insoweit um einen Zwischenentscheid, der nur unter den besonderen Voraussetzungen gemäss Art. 93 BGG angefochten werden kann.</w:t>
      </w:r>
    </w:p>
    <w:p>
      <w:r>
        <w:rPr>
          <w:b/>
        </w:rPr>
        <w:t>E. 3</w:t>
      </w:r>
    </w:p>
    <w:p>
      <w:r>
        <w:t>Ein (Teil-) Endentscheid liegt nur vor, wenn mindestens eines der gestellten Begehren behandelt wurde und dieses unabhängig von den anderen Begehren beurteilt werden kann ( Art. 91 lit. a BGG ). Über das Rechtsbegehren des Beschwerdeführers, die Betriebszeiten des "Bolgen Plaza" auf maximal 19 Uhr zu beschränken, wurde in der Verfügung vom 9. Juli 2013 aber noch nicht definitiv entschieden; vielmehr wurde in Dispositiv-Ziff. 2 ausdrücklich darauf hingewiesen, dass - je nach den Ergebnissen der Lärmmessungen - eine erhebliche Verkürzung der Öffnungszeiten des Restaurants angeordnet werden könnte. Ausgeschlossen wurde (in den Erwägungen) lediglich eine rein raumplanungsrechtlich begründete Schliessung des Restaurants nach 19 Uhr. Damit äusserte sich der Kleine Landrat nur zu einer von mehreren materiellen Rechtsgrundlagen für die beantragte Betriebsbeschränkung. Grundsatzentscheide, die sich zu einzelnen wichtigen materiellen Rechtsfragen äussern, ohne bereits über einzelne Begehren abschliessend zu entscheiden, sind nach ständiger Rechtsprechung als Zwischenentscheide zu qualifizieren ( BGE 136 II 165 E. 1.1 S. 170; 135 II 30 E. 1.3.3 S. 35; je mit Hinweisen). Sie können nur unter den Voraussetzungen gemäss Art. 93 Abs. 1 BGG angefochten werden, wenn sie einen nicht wiedergutzumachenden Nachteil bewirken können (lit. a) oder die Gutheissung der Beschwerde sofort einen Endentscheid herbeiführen und damit einen bedeutenden Aufwand an Zeit oder Kosten für ein weitläufiges Beweisverfahren ersparen würde (lit. b).</w:t>
      </w:r>
    </w:p>
    <w:p>
      <w:r>
        <w:rPr>
          <w:b/>
        </w:rPr>
        <w:t>E. 3.1</w:t>
      </w:r>
    </w:p>
    <w:p>
      <w:r>
        <w:t>Der Beschwerdeführer wirft dem Verwaltungsgericht eine formelle Rechtsverweigerung vor, weil es den Streitgegenstand auf die vorläufigen Lärmschutzmassnahmen beschränkt und sich nicht zu den raumplanungsrechtlichen Fragen mit Bezug auf die zonenwidrige Nutzung des "Bolgen Plaza" geäussert habe. Damit tut er aber keinen nicht wiedergutzumachenden Nachteil i.S.v. Art. 93 Abs. 1 lit. a BGG dar: Zum einen erscheint es nicht von vornherein ausgeschlossen, dass eine allfällige Rechtsverweigerung und Verletzung des rechtlichen Gehörs im hängigen Verfahren U 14 70 (betreffend definitive Massnahmen) geheilt werden könnte; zum anderen hat der Beschwerdeführer die Möglichkeit, den vorliegenden Zwischenentscheid zusammen mit dem Endentscheid des Verwaltungsgerichts im Verfahren U 14 70 mit Beschwerde vor Bundesgericht anzufechten ( Art. 93 Abs. 3 BGG ). Eine allfällige Rechtsverweigerung würde zur Aufhebung und Rückweisung an das Verwaltungsgericht führen. Die blosse Verzögerung oder Verteuerung des Verfahrens stellt für sich allein keinen nicht wiedergutzumachenden Nachteil dar ( BGE 136 II 165 E. 1.2.1 S. 170 mit Hinweis).</w:t>
      </w:r>
    </w:p>
    <w:p>
      <w:r>
        <w:rPr>
          <w:b/>
        </w:rPr>
        <w:t>E. 3.2</w:t>
      </w:r>
    </w:p>
    <w:p>
      <w:r>
        <w:t>Es ist auch nicht ersichtlich, inwiefern ein bedeutender Aufwand an Zeit oder Kosten für ein weitläufiges Beweisverfahren erspart werden könnte, wenn das Bundesgericht die Beschwerde gutheissen würde ( Art. 93 Abs. 1 lit. b BGG ). Es kann daher offenbleiben, ob das Bundesgericht in der vorliegenden Konstellation überhaupt einen Endentscheid fällen könnte.</w:t>
      </w:r>
    </w:p>
    <w:p>
      <w:r>
        <w:rPr>
          <w:b/>
        </w:rPr>
        <w:t>E. 4</w:t>
      </w:r>
    </w:p>
    <w:p>
      <w:r>
        <w:t>Nach dem Gesagten ist auf die Beschwerde nicht einzutreten. Der Sistierungsantrag der Beschwerdegegner wird damit gegenstandslos. Bei diesem Ausgang des Verfahrens wird der Beschwerdeführer kosten- und entschädigungspflichtig ( Art. 66 und 68 BGG ). Die Gemeinde Davos hat keinen Anspruch auf eine Parteientschädigung, da sie in ihrem amtlichen Wirkungskreis tätig wurde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