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1C_577/2017 vom 23. November 2017</w:t>
      </w:r>
    </w:p>
    <w:p>
      <w:r>
        <w:t>Bundesgericht, 2017-11-23, DE</w:t>
      </w:r>
    </w:p>
    <w:p>
      <w:r>
        <w:rPr>
          <w:b/>
        </w:rPr>
        <w:t xml:space="preserve">Quelle: </w:t>
      </w:r>
      <w:r>
        <w:t>https://mcp.opencaselaw.ch/entscheid/bger_1C_577_2017</w:t>
      </w:r>
    </w:p>
    <w:p>
      <w:r>
        <w:t>FR: TF 1C_577/2017 du 23 novembre 2017</w:t>
      </w:r>
    </w:p>
    <w:p>
      <w:r>
        <w:t>IT: TF 1C_577/2017 del 23 novembre 2017</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auf Französisch verfasst hat.</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um ein Sachgebiet, bei dem die Beschwerde nach Art. 84 Abs. 1 BGG insoweit möglich ist. Es handelt sich jedoch um keinen besonders bedeutenden Fall.</w:t>
      </w:r>
    </w:p>
    <w:p>
      <w:r>
        <w:t>Der Umstand, dass hohe Funktionäre involviert sind und die Strafuntersuchung eine internationale Dimension besitzt, ist im Rahmen der Rechtshilfe nicht ungewöhnlich und verleiht dem Fall allein noch keine besondere Bedeutung im Sinne des Gesetzes (vgl. Urteil 1C_286/2017 vom 28. Juni 2017 E. 1.2 mit Hinweis). Das weitere Vorbringen der Beschwerdeführerin, das griechische Verfahren betreffe eine verstorbene Person bzw. sei nicht strafrechtlicher Natur, verfängt ebenfalls nicht. Gemäss dem griechischen Rechtshilfeersuchen richtet sich die Strafuntersuchung auch gegen eine Reihe anderer Personen.</w:t>
      </w:r>
    </w:p>
    <w:p>
      <w:r>
        <w:t>Rechtsfragen von grundsätzlicher Bedeutung stellen sich nicht. Auch sonst ist der Fall nicht von aussergewöhnlicher Tragweite. Für das Bundesgericht besteht daher kein Anlass, die Sache an die Hand zu nehmen.</w:t>
      </w:r>
    </w:p>
    <w:p>
      <w:r>
        <w:rPr>
          <w:b/>
        </w:rPr>
        <w:t>E. 3</w:t>
      </w:r>
    </w:p>
    <w:p>
      <w:r>
        <w:t>Auf die Beschwerde ist aus den genannten Gründen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