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1C_577/2010 vom 16. März 2011</w:t>
      </w:r>
    </w:p>
    <w:p>
      <w:r>
        <w:t>Bundesgericht, 2011-03-16, DE</w:t>
      </w:r>
    </w:p>
    <w:p>
      <w:r>
        <w:rPr>
          <w:b/>
        </w:rPr>
        <w:t xml:space="preserve">Quelle: </w:t>
      </w:r>
      <w:r>
        <w:t>https://mcp.opencaselaw.ch/entscheid/bger_1C_577_2010</w:t>
      </w:r>
    </w:p>
    <w:p>
      <w:r>
        <w:t>FR: TF 1C_577/2010 du 16 mars 2011</w:t>
      </w:r>
    </w:p>
    <w:p>
      <w:r>
        <w:t>IT: TF 1C_577/2010 del 16 marzo 2011</w:t>
      </w:r>
    </w:p>
    <w:p>
      <w:pPr>
        <w:pStyle w:val="Heading2"/>
      </w:pPr>
      <w:r>
        <w:t>Erwägungen</w:t>
      </w:r>
    </w:p>
    <w:p>
      <w:r>
        <w:rPr>
          <w:b/>
        </w:rPr>
        <w:t>E. 1</w:t>
      </w:r>
    </w:p>
    <w:p>
      <w:r>
        <w:t>Der angefochtene Entscheid betrifft die Verteilung der Kosten der Baulandumlegung auf die betroffenen Grundeigentümer. Es handelt sich dabei um eine öffentlich-rechtliche Angelegenheit im Sinne von Art. 82 lit. a BGG . Umstritten ist die Schlussabrechnung, welche das kantonale Verfahren abschliesst und somit einen Endentscheid darstellt ( Art. 90 BGG ).</w:t>
      </w:r>
    </w:p>
    <w:p>
      <w:r>
        <w:rPr>
          <w:b/>
        </w:rPr>
        <w:t>E. 1.1</w:t>
      </w:r>
    </w:p>
    <w:p>
      <w:r>
        <w:t>Nach Art. 86 Abs. 2 BGG setzen die Kantone als unmittelbare Vorinstanzen des Bundesgerichts, von hier nicht gegebenen Ausnahmen abgesehen, obere Gerichte ein. Nach Art. 50 des kantonalen Gesetzes vom 16. November 1989 über die Landumlegung und die Grenzregulierung (LGG/VS) können die Beschlüsse der Ausführungskommission mit Beschwerde an die kantonale Rekurskommission für den Bereich Landwirtschaft und Landumlegungen weitergezogen werden. Bei dieser Rekurskommission handelt es sich nach Art. 9 des kantonalen Gesetzes vom 8. Februar 2007 über die Landwirtschaft und die Entwicklung des ländlichen Raumes (Landwirtschaftsgesetz; GLER) um eine richterliche Behörde, die vom Grossen Rat des Kantons Wallis ernannt wird und als letzte kantonale Instanz entscheidet (Art. 104 GLER). Ihre Zuständigkeit erstreckt sich auf das ganze Kantonsgebiet. Da ihre Entscheide insbesondere bei keiner anderen kantonalen Instanz anfechtbar sind, erfüllt sie die Anforderungen an eine obere richterliche Behörde im Sinne von Art. 86 Abs. 2 BGG (vgl. Urteil des Bundesgerichts 1C_346/2009 vom 6. November 2009 E. 4 mit Hinweisen).</w:t>
      </w:r>
    </w:p>
    <w:p>
      <w:r>
        <w:rPr>
          <w:b/>
        </w:rPr>
        <w:t>E. 1.2</w:t>
      </w:r>
    </w:p>
    <w:p>
      <w:r>
        <w:t>Das allgemeine Beschwerderecht nach Art. 89 Abs. 1 BGG ist grundsätzlich auf Privatpersonen zugeschnitten. Gemeinwesen können es für sich in Anspruch nehmen, wenn sie durch die angefochtene Verfügung gleich oder ähnlich wie Private betroffen sind ( BGE 136 I 265 E. 1.4 S. 268; 136 II 274 E. 4.1 S. 278; je mit Hinweisen). Der Kanton Wallis führt Beschwerde in seiner Eigenschaft als von der Baulandumlegung betroffener Grundeigentümer, der zur Zahlung weiterer Beiträge verpflichtet wurde. Er ist durch den angefochtenen Entscheid als Grundeigentümer besonders berührt und hat ein schutzwürdiges Interesse an dessen Aufhebung oder Änderung ( Art. 89 Abs. 1 lit. b und c BGG ). Da er auch am vorinstanzlichen Verfahren teilgenommen hat ( Art. 89 Abs. 1 lit. a BGG ), ist die Beschwerdeberechtigung zu bejahen.</w:t>
      </w:r>
    </w:p>
    <w:p>
      <w:r>
        <w:rPr>
          <w:b/>
        </w:rPr>
        <w:t>E. 1.3</w:t>
      </w:r>
    </w:p>
    <w:p>
      <w:r>
        <w:t>Die übrigen Sachurteilsvoraussetzungen sind erfüllt und geben zu keinen weiteren Bemerkungen Anlass. Auf die Beschwerde ist somit einzutreten.</w:t>
      </w:r>
    </w:p>
    <w:p>
      <w:r>
        <w:rPr>
          <w:b/>
        </w:rPr>
        <w:t>E. 2</w:t>
      </w:r>
    </w:p>
    <w:p>
      <w:r>
        <w:t>Der Kanton Wallis macht geltend, das Landumlegungsverfahren sei mit der Erledigung der Einsprache gegen die Schlussrechnung vom 14. Dezember 2001 abgeschlossen worden. Die Vorinstanz gehe zu Unrecht davon aus, es habe sich dabei nur um eine Abrechnung über Zwischenleistungen gehandelt.</w:t>
      </w:r>
    </w:p>
    <w:p>
      <w:r>
        <w:rPr>
          <w:b/>
        </w:rPr>
        <w:t>E. 2.1</w:t>
      </w:r>
    </w:p>
    <w:p>
      <w:r>
        <w:t>Das Verfahren der Landumlegung ist in den Art. 39 ff. LGG/VS geregelt. Zu den Aufgaben der Ausführungskommission gehören nach Art. 40 Abs. 3 LGG/VS die Vornahme der Schätzung des alten Bestandes, die Erstellung des Verzeichnisses der Neuzuteilungsansprüche und der ausgeschiedenen Landflächen, die Erstellung der Pläne der öffentlichen Anlagen für die Neuzuteilung, die Erstellung des Plans für die Neuzuteilung, die Ermittlung der Entschädigungen (Mehr- oder Minderwerte), die Erhebung von Zwischenleistungen sowie die Erstellung des Kostenverteilungsschlüssels und der Schlussabrechnung. Diese einzelnen Teilschritte des Verfahrens werden nach Massgabe des Fortschritts der Arbeiten jeweils öffentlich aufgelegt und können im Anschluss daran Gegenstand einer Einsprache bilden (Art. 47 f. LGG/VS). Während der Ausführung des Werks können nach Art. 44 LGG/VS Zwischenleistungen aufgrund der bereits getätigten Ausgaben erhoben werden. Das Verzeichnis dieser Leistungen wird in der für die endgültige Verteilung vorgesehenen Form öffentlich aufgelegt und gilt als Vollstreckungstitel.</w:t>
      </w:r>
    </w:p>
    <w:p>
      <w:r>
        <w:rPr>
          <w:b/>
        </w:rPr>
        <w:t>E. 2.2</w:t>
      </w:r>
    </w:p>
    <w:p>
      <w:r>
        <w:t>Die Dokumente, die vom 3. September bis 3. Oktober 2001 öffentlich aufgelegt wurden und der Einspracheerledigung durch die Ausführungskommission vom 14. Dezember 2001 zu Grunde lagen, sind als "Definitive Schlussrechnung" bezeichnet. Dies trifft insbesondere auf den Kostenverleger und die auf die einzelnen Eigentümer entfallenden Betreffnisse zu. Entgegen den Ausführungen der Vorinstanz bestehen keine Hinweise darauf, dass damals lediglich eine Abrechnung über Zwischenleistungen oder eine provisorische Berechnung der Kosten vorgelegen hätte. Die Ausführungskommission verwendete auf sämtlichen Unterlagen ausdrücklich und unmissverständlich die Bezeichnung "Definitive Schlussrechnung". Daraus folgt, dass die an der Baulandumlegung Beteiligten nicht davon ausgehen mussten, dass sie über sechs Jahre nach rechtskräftiger Erledigung der Einsprachen mit einer neuen "Schlussabrechnung" konfrontiert würden. Auch im kantonalen Recht, welches das Verfahren der Landumlegungen regelt, besteht keine Grundlage für die Erstellung einer späteren Schlussabrechnung. Es ist denn auch nicht ersichtlich, aus welchen Gründen sich die Ausführungskommission veranlasst sah, nochmals eine Schlussrechnung zu erstellen. Das Vorgehen der Vorinstanzen ist mit dem Willkürverbot ( Art. 9 BV ) nicht vereinbar. Die Beschwerde des Kantons Wallis ist somit gutzuheissen und der angefochtene Entscheid aufzuheben.</w:t>
      </w:r>
    </w:p>
    <w:p>
      <w:r>
        <w:rPr>
          <w:b/>
        </w:rPr>
        <w:t>E. 3</w:t>
      </w:r>
    </w:p>
    <w:p>
      <w:r>
        <w:t>Dem Ausgang des bundesgerichtlichen Verfahrens entsprechend sind keine Gerichtskosten zu erheben und keine Parteientschädigungen zuzusprechen ( Art. 66 Abs. 4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