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1C_576/2023 vom 26. Oktober 2023</w:t>
      </w:r>
    </w:p>
    <w:p>
      <w:r>
        <w:t>Bundesgericht, 2023-10-26, FR</w:t>
      </w:r>
    </w:p>
    <w:p>
      <w:r>
        <w:rPr>
          <w:b/>
        </w:rPr>
        <w:t xml:space="preserve">Quelle: </w:t>
      </w:r>
      <w:r>
        <w:t>https://mcp.opencaselaw.ch/entscheid/bger_1C_576_2023</w:t>
      </w:r>
    </w:p>
    <w:p>
      <w:r>
        <w:t>FR: TF 1C_576/2023 du 26 octobre 2023</w:t>
      </w:r>
    </w:p>
    <w:p>
      <w:r>
        <w:t>IT: TF 1C_576/2023 del 26 ottobre 2023</w:t>
      </w:r>
    </w:p>
    <w:p>
      <w:pPr>
        <w:pStyle w:val="Heading2"/>
      </w:pPr>
      <w:r>
        <w:t>Erwägungen</w:t>
      </w:r>
    </w:p>
    <w:p>
      <w:r>
        <w:rPr>
          <w:b/>
        </w:rPr>
        <w:t>E. 1</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et qu'elle se soit abstenue de statuer, alors qu'elle y est en principe obligée.</w:t>
      </w:r>
    </w:p>
    <w:p>
      <w:r>
        <w:rPr>
          <w:b/>
        </w:rPr>
        <w:t>E. 2</w:t>
      </w:r>
    </w:p>
    <w:p>
      <w:r>
        <w:t>Le recourant estime que ni le Conseil d'Etat, ni le Tribunal fédéral n'auraient transmis son recours du 16 août 2023 à l'autorité compétente pour en connaître, de sorte qu'au jour du dépouillement, il n'aurait pas été statué sur ses objections relatives à la préparation de l'élection. Le récent arrêt 1C_399/2023 du 25 août 2023 concernant le canton de Neuchâtel, ne se prononcerait pas sur les griefs soulevés par le recourant.</w:t>
      </w:r>
    </w:p>
    <w:p>
      <w:r>
        <w:rPr>
          <w:b/>
        </w:rPr>
        <w:t>E. 2.1</w:t>
      </w:r>
    </w:p>
    <w:p>
      <w:r>
        <w:t>Une autorité commet un déni de justice formel et viole l' art. 29 al. 1 Cst. lorsqu'elle n'entre pas en matière sur un recours qui lui est soumis dans les formes et délais prescrits, alors qu'elle devrait s'en saisir ( ATF 142 II 154 consid. 4.2; 135 I 6 consid. 2.1).</w:t>
      </w:r>
    </w:p>
    <w:p>
      <w:r>
        <w:rPr>
          <w:b/>
        </w:rPr>
        <w:t>E. 2.2</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LDP). Selon l' art. 100 al. 4 LTF , le délai de recours est de trois jours.</w:t>
      </w:r>
    </w:p>
    <w:p>
      <w:r>
        <w:t>Lorsque la question soumise au gouvernement cantonal ne se rapporte pas uniquement au canton en question, mais se pose au niveau supra cantonal ou fédéral, le gouvernement doit rendre une décision d'irrecevabilité, que le justiciable peut ensuite attaquer au Tribunal fédéral en reprenant ses griefs de fond. Il ne peut en revanche recourir directement au Tribunal fédéral, ni exiger du gouvernement qu'il transmette son recours au Tribunal fédéral ( art. 88 al. 1 let. b LTF ; ATF 137 II 177 consid. 1.2.3 p. 181). Le contrôle judiciaire ( art. 29a Cst. ) en relation avec la garantie constitutionnelle des droits politiques ( art. 34 Cst. ) est ainsi assuré ( ATF 137 II 177 consid 1.2.3 p. 180).</w:t>
      </w:r>
    </w:p>
    <w:p>
      <w:r>
        <w:rPr>
          <w:b/>
        </w:rPr>
        <w:t>E. 2.3</w:t>
      </w:r>
    </w:p>
    <w:p>
      <w:r>
        <w:t>Conformément à ces principes, le Conseil d'Etat genevois a statué sur le recours du 16 août 2023 et rendu un arrêté d'irrecevabilité le 6 septembre 2023, considérant que la question soulevée portait directement sur l'application de la LDP au niveau national. Le recourant aurait ainsi pu recourir directement contre cet arrêté pour faire valoir ses griefs. Cela ressort clairement de l'indication des voies de droit figurant au pied de l'arrêté en question, où figurent en outre le délai et les autres exigences de forme posées par la LTF. Dans la mesure où le justiciable dispose d'un droit de recours, il doit l'exercer conformément aux exigences légales. Le recourant, qui n'a pas agi en temps utile alors qu'il en avait la possibilité, ne saurait dès lors se plaindre d'un déni de justice.</w:t>
      </w:r>
    </w:p>
    <w:p>
      <w:r>
        <w:rPr>
          <w:b/>
        </w:rPr>
        <w:t>E. 3</w:t>
      </w:r>
    </w:p>
    <w:p>
      <w:r>
        <w:t>Manifestement mal fondé, le recours doit être rejeté, dans toutes ses conclusions, selon la procédure simplifiée prévue à l' art. 109 al. 2 let. a LTF . Conformément à l' art. 66 al. 1 LTF , les frais judiciaires sont mis à la charge du recourant qui succombe. Celui-ci évoque une situation financière difficile mais, outre ses revenus mensuels de 3'000 fr., il ne donne aucune indication susceptible d'étayer une demande d'assistance judiciaire. Le recours ne présentait quoiqu'il en soit pas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