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1C_576/2015 vom 10. Dezember 2015</w:t>
      </w:r>
    </w:p>
    <w:p>
      <w:r>
        <w:t>Bundesgericht, 2015-12-10, DE</w:t>
      </w:r>
    </w:p>
    <w:p>
      <w:r>
        <w:rPr>
          <w:b/>
        </w:rPr>
        <w:t xml:space="preserve">Quelle: </w:t>
      </w:r>
      <w:r>
        <w:t>https://mcp.opencaselaw.ch/entscheid/bger_1C_576_2015</w:t>
      </w:r>
    </w:p>
    <w:p>
      <w:r>
        <w:t>FR: TF 1C_576/2015 du 10 décembre 2015</w:t>
      </w:r>
    </w:p>
    <w:p>
      <w:r>
        <w:t>IT: TF 1C_576/2015 del 10 dicembre 2015</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Beschlagnahme und Herausgabe von Gegenständen sowie eine Übermittlung von Informationen aus dem Geheimbereich und damit um ein Sachgebiet, bei dem die Beschwerde nach Art. 84 Abs. 1 BGG insoweit möglich ist. Weiter ist erforderlich, dass es sich um einen besonders bedeutenden Fall handelt.</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Ein besonders bedeutender Fall liegt nicht vor. Die Vorinstanz hat sich mit den Einwänden der Beschwerdeführer auseinandergesetzt. Es legte dar, dass die Voraussetzung der beidseitigen Strafbarkeit nicht verlange, dass sich der Tatverdacht gegen die von der Rechtshilfemassnahme Betroffenen richte. Dies entspricht der bundesgerichtlichen Rechtsprechung (vgl. Urteil 1A.245/2006 vom 26. Januar 2007 E. 3).</w:t>
      </w:r>
    </w:p>
    <w:p>
      <w:r>
        <w:t>Das Bundesstrafgericht ging weiter davon aus, dass sich die Beschwerdeführer im Beschwerdeverfahren hinreichend dazu äussern konnten, inwiefern die fraglichen Unterlagen unter das Anwaltsgeheimnis fallen. Eine allfällige Verletzung des rechtlichen Gehörs durch die Staatsanwaltschaft sei insofern geheilt. Der Einwand der Beschwerdeführer, sie hätten faktisch nur 10 bis 12 Tage Zeit für eine Stellungnahme gehabt, lässt auf keine Verletzung des rechtlichen Gehörs schliessen. Ebenfalls nicht ersichtlich ist, weshalb sie wegen des Anwaltsgeheimnisses daran gehindert gewesen wären, die diesem Geheimnis unterliegenden Aktenstücke zu bezeichnen.</w:t>
      </w:r>
    </w:p>
    <w:p>
      <w:r>
        <w:t>Zur Frage, welche Dokumente dem Anwaltsgeheimnis unterliegen, stützte sich die Vorinstanz auf die bundesgerichtliche Rechtsprechung. Danach ist das strafprozessuale Zeugnisverweigerungsrecht nicht auf Informationen anwendbar, die einem Anwalt im Rahmen von Dienstleistungen zukommen, welche über die berufsspezifische Tätigkeit hinausgehen. Dies gilt unter anderem für die Tätigkeit als Verwaltungsrat einer Gesellschaft ( BGE 115 Ia 197 E. 3d/cc S. 200 f.; Urteil 1B_226/2014 vom 18. September 2014 E. 2.4; je mit Hinweisen). Wenn das Bundesstrafgericht im Licht der Angaben der Beschwerdeführer (vgl. BGE 126 II 258 E. 9b/cc S. 263; 130 II 14 E. 4.3 S. 17 f. mit Hinweisen) die Unterlagen nach diesem zutreffenden Kriterium einer Triage unterzog, ist dies nicht zu beanstanden.</w:t>
      </w:r>
    </w:p>
    <w:p>
      <w:r>
        <w:t>Wie das Bundesamt in der Vernehmlassung zutreffend darlegt, stellen sich keine Rechtsfragen von grundsätzlicher Bedeutung. Auch sonst ist der Fall nicht von aussergewöhnlicher Tragweite. Für das Bundesgericht besteht kein Anlass, die Sache an die Hand zu nehmen.</w:t>
      </w:r>
    </w:p>
    <w:p>
      <w:r>
        <w:rPr>
          <w:b/>
        </w:rPr>
        <w:t>E. 2</w:t>
      </w:r>
    </w:p>
    <w:p>
      <w:r>
        <w:t>Auf die Beschwerde ist nicht einzutreten.</w:t>
      </w:r>
    </w:p>
    <w:p>
      <w:r>
        <w:t>Bei diesem Ausgang des Verfahrens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