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1C_575/2011 vom 27. März 2012</w:t>
      </w:r>
    </w:p>
    <w:p>
      <w:r>
        <w:t>Bundesgericht, 2012-03-27, FR</w:t>
      </w:r>
    </w:p>
    <w:p>
      <w:r>
        <w:rPr>
          <w:b/>
        </w:rPr>
        <w:t xml:space="preserve">Quelle: </w:t>
      </w:r>
      <w:r>
        <w:t>https://mcp.opencaselaw.ch/entscheid/bger_1C_575_2011</w:t>
      </w:r>
    </w:p>
    <w:p>
      <w:r>
        <w:t>FR: TF 1C_575/2011 du 27 mars 2012</w:t>
      </w:r>
    </w:p>
    <w:p>
      <w:r>
        <w:t>IT: TF 1C_575/2011 del 27 marzo 2012</w:t>
      </w:r>
    </w:p>
    <w:p>
      <w:pPr>
        <w:pStyle w:val="Heading2"/>
      </w:pPr>
      <w:r>
        <w:t>Erwägungen</w:t>
      </w:r>
    </w:p>
    <w:p>
      <w:r>
        <w:rPr>
          <w:b/>
        </w:rPr>
        <w:t>E. 1</w:t>
      </w:r>
    </w:p>
    <w:p>
      <w:r>
        <w:t>En vertu de l' art. 82 let . c LTF, le Tribunal fédéral connaît des recours en matière de droit public concernant le droit de vote des citoyens ainsi que les élections et votations populaires. Citoyenne du canton de Fribourg, la recourante a la qualité pour recourir ( art. 89 al. 1 et 3 LTF ). Interjeté en temps utile contre une décision finale prise en dernière instance cantonale non susceptible de recours devant le Tribunal administratif fédéral, le recours est recevable au regard des art. 86 al. 1 let . d, 90 et 100 al. 1 LTF.</w:t>
      </w:r>
    </w:p>
    <w:p>
      <w:r>
        <w:t>Cependant, le troisième complément au recours déposé par A.________ le 16 février 2012 est tardif et partant irrecevable.</w:t>
      </w:r>
    </w:p>
    <w:p>
      <w:r>
        <w:rPr>
          <w:b/>
        </w:rPr>
        <w:t>E. 2</w:t>
      </w:r>
    </w:p>
    <w:p>
      <w:r>
        <w:t>La recourante relève que l'arrêt attaqué ne mentionne pas que le délai de recours de 30 jours était suspendu entre le 18 décembre et le 2 janvier ( art. 46 al. 1 let . c LTF). Peu importe, puisque par courrier du 30 décembre 2011, le Secrétaire présidentiel de la Ire Cour de droit public du Tribunal fédéral a informé la recourante du fait qu'elle pouvait compléter son recours dans le délai légal de recours, ce qu'elle n'a pas manqué de faire les 6 et 9 janvier 2012.</w:t>
      </w:r>
    </w:p>
    <w:p>
      <w:r>
        <w:rPr>
          <w:b/>
        </w:rPr>
        <w:t>E. 3</w:t>
      </w:r>
    </w:p>
    <w:p>
      <w:r>
        <w:t>De manière confuse, la recourante fait notamment valoir une violation des art. 37 al. 1, 52, 54 al. 3 et 66 de la loi fribourgeoise sur l'exercice des droits politiques du 6 avril 2001 (LEDP; RSF 115.1). Elle prétend en particulier que "s'il y avait eu alliance ou fusion, les trois partis [en cause] devaient se présenter sur une seule liste" et ne pouvaient présenter sur leur propre liste les candidats des deux autres partis, sans induire en erreur les électeurs.</w:t>
      </w:r>
    </w:p>
    <w:p>
      <w:r>
        <w:rPr>
          <w:b/>
        </w:rPr>
        <w:t>E. 3.1</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aux élections et aux votations ou en précisent le contenu et l'étendue (cf. art. 95 let . d LTF).</w:t>
      </w:r>
    </w:p>
    <w:p>
      <w:r>
        <w:rPr>
          <w:b/>
        </w:rPr>
        <w:t>E. 3.2</w:t>
      </w:r>
    </w:p>
    <w:p>
      <w:r>
        <w:t>Le mémoire de recours doit contenir les conclusions et les motifs à l'appui de celles-ci ( art. 42 al. 1 LTF ) sous peine d'irrecevabilité. Les conclusions doivent indiquer sur quels points la décision est attaquée et quelles sont les modifications demandées ( ATF 133 III 489 consid. 3.1 et les arrêts cités). Les motifs doivent exposer succinctement en quoi l'acte attaqué viole le droit ( art. 42 al. 2 LTF ). Pour satisfaire à ces exigences, le recourant doit discuter les motifs de la décision entreprise et indiquer précisément en quoi il estime que l'autorité précédente a méconnu le droit ( ATF 134 V 53 consid. 3.3 p. 60; 133 II 249 consid. 1.4.2 p. 254; 133 IV 286 consid. 1.4 p. 287). Les critiques de nature appellatoire sont irrecevables ( ATF 137 II 353 consid. 5.1 p. 365 et les références citées).</w:t>
      </w:r>
    </w:p>
    <w:p>
      <w:r>
        <w:t>Dans son écriture, la recourante ne discute pas les motifs avancés dans l'arrêt attaqué. Comme si elle plaidait devant une cour d'appel, elle ne démontre pas concrètement et précisément en quoi et pour quel motif l'appréciation du Tribunal cantonal serait insoutenable. Il est dès lors douteux que ses griefs soient recevables. Peu importe au demeurant, puisque le recours est de toute façon mal fondé pour les motifs suivants.</w:t>
      </w:r>
    </w:p>
    <w:p>
      <w:r>
        <w:rPr>
          <w:b/>
        </w:rPr>
        <w:t>E. 3.3</w:t>
      </w:r>
    </w:p>
    <w:p>
      <w:r>
        <w:t>L'art. 83 al. 1 LEDP prévoit que l'élection des membres du Conseil d'Etat a lieu selon le mode de scrutin majoritaire. Contrairement à ce que prétend la recourante, l'art. 66 LEDP régit expressément l'élection selon le mode de scrutin proportionnel et n'est pas applicable à l'élection selon le système majoritaire. S'agissant d'une élection ayant lieu selon le mode de scrutin majoritaire, il n'y a aucune possibilité d'apparentement puisque les suffrages des électeurs sont attribués uniquement aux candidats et non pas aux listes sur lesquelles ils apparaissent (voir ég. Pierre Garrone, L'élection populaire en Suisse, thèse 1991, p. 163).</w:t>
      </w:r>
    </w:p>
    <w:p>
      <w:r>
        <w:t>Par ailleurs, l'intéressée soutient à tort que l'art. 52 al. 2 LEDP imposerait l'interdiction pour un candidat de se présenter sur plusieurs listes électorales. Cette disposition prévoit seulement que le signataire d'une liste électorale - à savoir la personne jouissant de l'exercice des droits politiques dans le cercle électoral en cause qui exprime son soutien en signant ladite liste - ne peut signer plus d'une liste.</w:t>
      </w:r>
    </w:p>
    <w:p>
      <w:r>
        <w:t>La recourante mentionne sans plus de succès l'art. 54 al. 3 LEDP. En effet, cet article dispose que les listes doivent porter pour chaque personne candidate ses nom, prénom, profession, année de naissance, domicile et, le cas échéant, toute autre indication propre à l'identifier et à la distinguer. On ne voit pas en quoi cette disposition aurait été violée puisque les listes électorales litigieuses contiennent les informations précitées.</w:t>
      </w:r>
    </w:p>
    <w:p>
      <w:r>
        <w:t>Enfin, la recourante souligne que l'art. 37 al. 1 LEDP prévoit que si la dénomination d'une liste électorale prête à confusion avec celle d'une liste déposée antérieurement, le ou la mandataire des signataires est invité-e à la corriger dans un bref délai, sous peine de nullité. Le procédé utilisé par ces trois partis n'est certes pas dénué de toute ambiguïté, dans la mesure où la dénomination de la liste par le nom du parti pourrait laisser entendre que tous les candidats figurant sur ladite liste sont membres dudit parti. Les électeurs étaient cependant suffisamment informés de l'appartenance politique de ces quatre candidats par les différentes brochures des partis politiques accompagnant le matériel électoral ainsi que par la campagne électorale menée par ceux-là. Cette diffusion d'informations a remédié au défaut du procédé dénoncé, ce d'autant plus que le nombre de candidats était en l'espèce peu élevé et qu'il s'agissait du second tour d'une élection.</w:t>
      </w:r>
    </w:p>
    <w:p>
      <w:r>
        <w:rPr>
          <w:b/>
        </w:rPr>
        <w:t>E. 4</w:t>
      </w:r>
    </w:p>
    <w:p>
      <w:r>
        <w:t>Il s'ensuit que le recours est rejeté, dans la mesure de sa recevabilité. La recourante qui succombe doit supporter les frais judiciaires (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